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er+xml" PartName="/word/footer16.xml"/>
  <Override ContentType="application/vnd.openxmlformats-officedocument.wordprocessingml.footer+xml" PartName="/word/footer17.xml"/>
  <Override ContentType="application/vnd.openxmlformats-officedocument.wordprocessingml.footer+xml" PartName="/word/footer18.xml"/>
  <Override ContentType="application/vnd.openxmlformats-officedocument.wordprocessingml.footer+xml" PartName="/word/footer19.xml"/>
  <Override ContentType="application/vnd.openxmlformats-officedocument.wordprocessingml.footer+xml" PartName="/word/footer2.xml"/>
  <Override ContentType="application/vnd.openxmlformats-officedocument.wordprocessingml.footer+xml" PartName="/word/footer20.xml"/>
  <Override ContentType="application/vnd.openxmlformats-officedocument.wordprocessingml.footer+xml" PartName="/word/footer21.xml"/>
  <Override ContentType="application/vnd.openxmlformats-officedocument.wordprocessingml.footer+xml" PartName="/word/footer2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widowControl/>
        <w:jc w:val="center"/>
        <w:rPr>
          <w:sz w:val="32"/>
          <w:szCs w:val="32"/>
          <w:highlight w:val="none"/>
        </w:rPr>
      </w:pPr>
    </w:p>
    <w:p>
      <w:pPr>
        <w:widowControl/>
        <w:jc w:val="both"/>
        <w:rPr>
          <w:sz w:val="84"/>
          <w:szCs w:val="84"/>
          <w:highlight w:val="none"/>
        </w:rPr>
      </w:pPr>
    </w:p>
    <w:p>
      <w:pPr>
        <w:widowControl/>
        <w:jc w:val="center"/>
        <w:rPr>
          <w:rFonts w:hint="eastAsia" w:ascii="方正小标宋简体" w:eastAsia="方正小标宋简体"/>
          <w:b/>
          <w:bCs/>
          <w:sz w:val="84"/>
          <w:szCs w:val="84"/>
          <w:highlight w:val="none"/>
        </w:rPr>
      </w:pPr>
      <w:r>
        <w:rPr>
          <w:rFonts w:hint="eastAsia" w:ascii="方正小标宋简体" w:eastAsia="方正小标宋简体"/>
          <w:b/>
          <w:bCs/>
          <w:sz w:val="84"/>
          <w:szCs w:val="84"/>
          <w:highlight w:val="none"/>
          <w:lang w:val="en-US" w:eastAsia="zh-CN"/>
        </w:rPr>
        <w:t>2024</w:t>
      </w:r>
      <w:r>
        <w:rPr>
          <w:rFonts w:hint="eastAsia" w:ascii="方正小标宋简体" w:eastAsia="方正小标宋简体"/>
          <w:b/>
          <w:bCs/>
          <w:sz w:val="84"/>
          <w:szCs w:val="84"/>
          <w:highlight w:val="none"/>
        </w:rPr>
        <w:t>年度</w:t>
      </w:r>
    </w:p>
    <w:p>
      <w:pPr>
        <w:widowControl/>
        <w:jc w:val="center"/>
        <w:rPr>
          <w:rFonts w:hint="eastAsia" w:ascii="方正小标宋简体" w:eastAsia="方正小标宋简体"/>
          <w:b/>
          <w:bCs/>
          <w:sz w:val="84"/>
          <w:szCs w:val="84"/>
          <w:highlight w:val="none"/>
        </w:rPr>
      </w:pPr>
      <w:r>
        <w:rPr>
          <w:rFonts w:hint="eastAsia" w:ascii="方正小标宋简体" w:eastAsia="方正小标宋简体"/>
          <w:b/>
          <w:bCs/>
          <w:sz w:val="84"/>
          <w:szCs w:val="84"/>
          <w:highlight w:val="none"/>
        </w:rPr>
        <w:t>厦门市思明区计划生育协会（本级）</w:t>
      </w:r>
    </w:p>
    <w:p>
      <w:pPr>
        <w:widowControl/>
        <w:jc w:val="center"/>
        <w:rPr>
          <w:rFonts w:hint="eastAsia" w:ascii="方正小标宋简体" w:eastAsia="方正小标宋简体"/>
          <w:b/>
          <w:bCs/>
          <w:sz w:val="84"/>
          <w:szCs w:val="84"/>
          <w:highlight w:val="none"/>
          <w:lang w:val="en-US" w:eastAsia="zh-CN"/>
        </w:rPr>
        <w:sectPr>
          <w:footerReference r:id="rId4" w:type="default"/>
          <w:pgSz w:w="11906" w:h="16838"/>
          <w:pgMar w:top="1440" w:right="1083" w:bottom="1440" w:left="1083" w:header="0" w:footer="720" w:gutter="0"/>
          <w:pgBorders>
            <w:top w:val="none" w:color="auto" w:sz="0" w:space="0"/>
            <w:left w:val="none" w:color="auto" w:sz="0" w:space="0"/>
            <w:bottom w:val="none" w:color="auto" w:sz="0" w:space="0"/>
            <w:right w:val="none" w:color="auto" w:sz="0" w:space="0"/>
          </w:pgBorders>
          <w:pgNumType w:fmt="decimal"/>
          <w:cols w:space="720" w:num="1"/>
          <w:rtlGutter w:val="0"/>
          <w:docGrid w:type="lines" w:linePitch="317" w:charSpace="0"/>
        </w:sectPr>
      </w:pPr>
      <w:r>
        <w:rPr>
          <w:rFonts w:hint="eastAsia" w:ascii="方正小标宋简体" w:eastAsia="方正小标宋简体"/>
          <w:b/>
          <w:bCs/>
          <w:sz w:val="84"/>
          <w:szCs w:val="84"/>
          <w:highlight w:val="none"/>
          <w:lang w:val="en-US" w:eastAsia="zh-CN"/>
        </w:rPr>
        <w:t>单位</w:t>
      </w:r>
      <w:r>
        <w:rPr>
          <w:rFonts w:hint="eastAsia" w:ascii="方正小标宋简体" w:eastAsia="方正小标宋简体"/>
          <w:b/>
          <w:bCs/>
          <w:sz w:val="84"/>
          <w:szCs w:val="84"/>
          <w:highlight w:val="none"/>
        </w:rPr>
        <w:t>决算</w:t>
      </w:r>
    </w:p>
    <w:p>
      <w:pPr>
        <w:widowControl/>
        <w:spacing w:before="0" w:after="0" w:line="240" w:lineRule="auto"/>
        <w:ind w:left="0" w:leftChars="0" w:right="0" w:firstLine="0" w:firstLineChars="0"/>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目录</w:t>
      </w:r>
    </w:p>
    <w:p>
      <w:pPr>
        <w:pStyle w:val="17"/>
        <w:tabs>
          <w:tab w:val="right" w:leader="dot" w:pos="9730"/>
        </w:tabs>
        <w:rPr>
          <w:rFonts w:ascii="Calibri" w:hAnsi="Calibri"/>
          <w:sz w:val="22"/>
        </w:rPr>
      </w:pPr>
      <w:r>
        <w:rPr>
          <w:rFonts w:hint="eastAsia" w:ascii="仿宋" w:hAnsi="仿宋" w:eastAsia="仿宋" w:cs="仿宋"/>
          <w:b w:val="0"/>
          <w:bCs/>
          <w:kern w:val="2"/>
          <w:sz w:val="32"/>
          <w:szCs w:val="32"/>
          <w:lang w:val="en-US" w:eastAsia="zh-CN" w:bidi="ar-SA"/>
        </w:rPr>
        <w:fldChar w:fldCharType="begin"/>
      </w:r>
      <w:r>
        <w:rPr>
          <w:rFonts w:hint="eastAsia" w:ascii="仿宋" w:hAnsi="仿宋" w:eastAsia="仿宋" w:cs="仿宋"/>
          <w:b w:val="0"/>
          <w:bCs/>
          <w:kern w:val="2"/>
          <w:sz w:val="32"/>
          <w:szCs w:val="32"/>
          <w:lang w:val="en-US" w:eastAsia="zh-CN" w:bidi="ar-SA"/>
        </w:rPr>
        <w:instrText xml:space="preserve">TOC \o "1-3" \h \u </w:instrText>
      </w:r>
      <w:r>
        <w:rPr>
          <w:rFonts w:hint="eastAsia" w:ascii="仿宋" w:hAnsi="仿宋" w:eastAsia="仿宋" w:cs="仿宋"/>
          <w:b w:val="0"/>
          <w:bCs/>
          <w:kern w:val="2"/>
          <w:sz w:val="32"/>
          <w:szCs w:val="32"/>
          <w:lang w:val="en-US" w:eastAsia="zh-CN" w:bidi="ar-SA"/>
        </w:rPr>
        <w:fldChar w:fldCharType="separate"/>
      </w:r>
      <w:r>
        <w:fldChar w:fldCharType="begin"/>
      </w:r>
      <w:r>
        <w:instrText xml:space="preserve"> HYPERLINK \l "_Toc256000093" </w:instrText>
      </w:r>
      <w:r>
        <w:fldChar w:fldCharType="separate"/>
      </w:r>
      <w:r>
        <w:rPr>
          <w:rStyle w:val="21"/>
          <w:rFonts w:ascii="黑体" w:hAnsi="黑体" w:eastAsia="黑体" w:cs="黑体"/>
        </w:rPr>
        <w:t>第一部分</w:t>
      </w:r>
      <w:r>
        <w:tab/>
      </w:r>
      <w:r>
        <w:fldChar w:fldCharType="begin"/>
      </w:r>
      <w:r>
        <w:instrText xml:space="preserve"> PAGEREF _Toc256000093 \h </w:instrText>
      </w:r>
      <w:r>
        <w:fldChar w:fldCharType="separate"/>
      </w:r>
      <w:r>
        <w:t>4</w:t>
      </w:r>
      <w:r>
        <w:fldChar w:fldCharType="end"/>
      </w:r>
      <w:r>
        <w:fldChar w:fldCharType="end"/>
      </w:r>
    </w:p>
    <w:p>
      <w:pPr>
        <w:pStyle w:val="17"/>
        <w:tabs>
          <w:tab w:val="right" w:leader="dot" w:pos="9730"/>
        </w:tabs>
        <w:rPr>
          <w:rFonts w:ascii="Calibri" w:hAnsi="Calibri"/>
          <w:sz w:val="22"/>
        </w:rPr>
      </w:pPr>
      <w:r>
        <w:fldChar w:fldCharType="begin"/>
      </w:r>
      <w:r>
        <w:instrText xml:space="preserve"> HYPERLINK \l "_Toc256000094" </w:instrText>
      </w:r>
      <w:r>
        <w:fldChar w:fldCharType="separate"/>
      </w:r>
      <w:r>
        <w:rPr>
          <w:rStyle w:val="21"/>
          <w:rFonts w:ascii="黑体" w:hAnsi="黑体" w:eastAsia="黑体" w:cs="黑体"/>
        </w:rPr>
        <w:t>单位概况</w:t>
      </w:r>
      <w:r>
        <w:tab/>
      </w:r>
      <w:r>
        <w:fldChar w:fldCharType="begin"/>
      </w:r>
      <w:r>
        <w:instrText xml:space="preserve"> PAGEREF _Toc256000094 \h </w:instrText>
      </w:r>
      <w:r>
        <w:fldChar w:fldCharType="separate"/>
      </w:r>
      <w:r>
        <w:t>4</w:t>
      </w:r>
      <w:r>
        <w:fldChar w:fldCharType="end"/>
      </w:r>
      <w:r>
        <w:fldChar w:fldCharType="end"/>
      </w:r>
    </w:p>
    <w:p>
      <w:pPr>
        <w:pStyle w:val="10"/>
        <w:tabs>
          <w:tab w:val="right" w:leader="dot" w:pos="9730"/>
        </w:tabs>
        <w:rPr>
          <w:rFonts w:ascii="Calibri" w:hAnsi="Calibri"/>
          <w:sz w:val="22"/>
        </w:rPr>
      </w:pPr>
      <w:r>
        <w:fldChar w:fldCharType="begin"/>
      </w:r>
      <w:r>
        <w:instrText xml:space="preserve"> HYPERLINK \l "_Toc256000095" </w:instrText>
      </w:r>
      <w:r>
        <w:fldChar w:fldCharType="separate"/>
      </w:r>
      <w:r>
        <w:rPr>
          <w:rStyle w:val="21"/>
          <w:rFonts w:ascii="黑体" w:hAnsi="黑体" w:eastAsia="黑体" w:cs="黑体"/>
        </w:rPr>
        <w:t>一、单位主要职责</w:t>
      </w:r>
      <w:r>
        <w:tab/>
      </w:r>
      <w:r>
        <w:fldChar w:fldCharType="begin"/>
      </w:r>
      <w:r>
        <w:instrText xml:space="preserve"> PAGEREF _Toc256000095 \h </w:instrText>
      </w:r>
      <w:r>
        <w:fldChar w:fldCharType="separate"/>
      </w:r>
      <w:r>
        <w:t>5</w:t>
      </w:r>
      <w:r>
        <w:fldChar w:fldCharType="end"/>
      </w:r>
      <w:r>
        <w:fldChar w:fldCharType="end"/>
      </w:r>
    </w:p>
    <w:p>
      <w:pPr>
        <w:pStyle w:val="10"/>
        <w:tabs>
          <w:tab w:val="right" w:leader="dot" w:pos="9730"/>
        </w:tabs>
        <w:rPr>
          <w:rFonts w:ascii="Calibri" w:hAnsi="Calibri"/>
          <w:sz w:val="22"/>
        </w:rPr>
      </w:pPr>
      <w:r>
        <w:fldChar w:fldCharType="begin"/>
      </w:r>
      <w:r>
        <w:instrText xml:space="preserve"> HYPERLINK \l "_Toc256000096" </w:instrText>
      </w:r>
      <w:r>
        <w:fldChar w:fldCharType="separate"/>
      </w:r>
      <w:r>
        <w:rPr>
          <w:rStyle w:val="21"/>
          <w:rFonts w:ascii="黑体" w:hAnsi="黑体" w:eastAsia="黑体" w:cs="黑体"/>
        </w:rPr>
        <w:t>二、单位基本情况</w:t>
      </w:r>
      <w:r>
        <w:tab/>
      </w:r>
      <w:r>
        <w:fldChar w:fldCharType="begin"/>
      </w:r>
      <w:r>
        <w:instrText xml:space="preserve"> PAGEREF _Toc256000096 \h </w:instrText>
      </w:r>
      <w:r>
        <w:fldChar w:fldCharType="separate"/>
      </w:r>
      <w:r>
        <w:t>5</w:t>
      </w:r>
      <w:r>
        <w:fldChar w:fldCharType="end"/>
      </w:r>
      <w:r>
        <w:fldChar w:fldCharType="end"/>
      </w:r>
    </w:p>
    <w:p>
      <w:pPr>
        <w:pStyle w:val="10"/>
        <w:tabs>
          <w:tab w:val="right" w:leader="dot" w:pos="9730"/>
        </w:tabs>
        <w:rPr>
          <w:rFonts w:ascii="Calibri" w:hAnsi="Calibri"/>
          <w:sz w:val="22"/>
        </w:rPr>
      </w:pPr>
      <w:r>
        <w:fldChar w:fldCharType="begin"/>
      </w:r>
      <w:r>
        <w:instrText xml:space="preserve"> HYPERLINK \l "_Toc256000097" </w:instrText>
      </w:r>
      <w:r>
        <w:fldChar w:fldCharType="separate"/>
      </w:r>
      <w:r>
        <w:rPr>
          <w:rStyle w:val="21"/>
          <w:rFonts w:ascii="黑体" w:hAnsi="黑体" w:eastAsia="黑体" w:cs="黑体"/>
        </w:rPr>
        <w:t>三、单位主要工作总结</w:t>
      </w:r>
      <w:r>
        <w:tab/>
      </w:r>
      <w:r>
        <w:fldChar w:fldCharType="begin"/>
      </w:r>
      <w:r>
        <w:instrText xml:space="preserve"> PAGEREF _Toc256000097 \h </w:instrText>
      </w:r>
      <w:r>
        <w:fldChar w:fldCharType="separate"/>
      </w:r>
      <w:r>
        <w:t>5</w:t>
      </w:r>
      <w:r>
        <w:fldChar w:fldCharType="end"/>
      </w:r>
      <w:r>
        <w:fldChar w:fldCharType="end"/>
      </w:r>
    </w:p>
    <w:p>
      <w:pPr>
        <w:pStyle w:val="17"/>
        <w:tabs>
          <w:tab w:val="right" w:leader="dot" w:pos="9730"/>
        </w:tabs>
        <w:rPr>
          <w:rFonts w:ascii="Calibri" w:hAnsi="Calibri"/>
          <w:sz w:val="22"/>
        </w:rPr>
      </w:pPr>
      <w:r>
        <w:fldChar w:fldCharType="begin"/>
      </w:r>
      <w:r>
        <w:instrText xml:space="preserve"> HYPERLINK \l "_Toc256000098" </w:instrText>
      </w:r>
      <w:r>
        <w:fldChar w:fldCharType="separate"/>
      </w:r>
      <w:r>
        <w:rPr>
          <w:rStyle w:val="21"/>
          <w:rFonts w:ascii="黑体" w:hAnsi="黑体" w:eastAsia="黑体" w:cs="黑体"/>
        </w:rPr>
        <w:t>第二部分</w:t>
      </w:r>
      <w:r>
        <w:tab/>
      </w:r>
      <w:r>
        <w:fldChar w:fldCharType="begin"/>
      </w:r>
      <w:r>
        <w:instrText xml:space="preserve"> PAGEREF _Toc256000098 \h </w:instrText>
      </w:r>
      <w:r>
        <w:fldChar w:fldCharType="separate"/>
      </w:r>
      <w:r>
        <w:t>6</w:t>
      </w:r>
      <w:r>
        <w:fldChar w:fldCharType="end"/>
      </w:r>
      <w:r>
        <w:fldChar w:fldCharType="end"/>
      </w:r>
    </w:p>
    <w:p>
      <w:pPr>
        <w:pStyle w:val="17"/>
        <w:tabs>
          <w:tab w:val="right" w:leader="dot" w:pos="9730"/>
        </w:tabs>
        <w:rPr>
          <w:rFonts w:ascii="Calibri" w:hAnsi="Calibri"/>
          <w:sz w:val="22"/>
        </w:rPr>
      </w:pPr>
      <w:r>
        <w:fldChar w:fldCharType="begin"/>
      </w:r>
      <w:r>
        <w:instrText xml:space="preserve"> HYPERLINK \l "_Toc256000099" </w:instrText>
      </w:r>
      <w:r>
        <w:fldChar w:fldCharType="separate"/>
      </w:r>
      <w:r>
        <w:rPr>
          <w:rStyle w:val="21"/>
          <w:rFonts w:ascii="黑体" w:hAnsi="黑体" w:eastAsia="黑体" w:cs="黑体"/>
        </w:rPr>
        <w:t>2024年度决算表</w:t>
      </w:r>
      <w:r>
        <w:tab/>
      </w:r>
      <w:r>
        <w:fldChar w:fldCharType="begin"/>
      </w:r>
      <w:r>
        <w:instrText xml:space="preserve"> PAGEREF _Toc256000099 \h </w:instrText>
      </w:r>
      <w:r>
        <w:fldChar w:fldCharType="separate"/>
      </w:r>
      <w:r>
        <w:t>6</w:t>
      </w:r>
      <w:r>
        <w:fldChar w:fldCharType="end"/>
      </w:r>
      <w:r>
        <w:fldChar w:fldCharType="end"/>
      </w:r>
    </w:p>
    <w:p>
      <w:pPr>
        <w:pStyle w:val="10"/>
        <w:tabs>
          <w:tab w:val="right" w:leader="dot" w:pos="9730"/>
        </w:tabs>
        <w:rPr>
          <w:rFonts w:ascii="Calibri" w:hAnsi="Calibri"/>
          <w:sz w:val="22"/>
        </w:rPr>
      </w:pPr>
      <w:r>
        <w:fldChar w:fldCharType="begin"/>
      </w:r>
      <w:r>
        <w:instrText xml:space="preserve"> HYPERLINK \l "_Toc256000100" </w:instrText>
      </w:r>
      <w:r>
        <w:fldChar w:fldCharType="separate"/>
      </w:r>
      <w:r>
        <w:rPr>
          <w:rStyle w:val="21"/>
          <w:rFonts w:ascii="黑体" w:hAnsi="黑体" w:eastAsia="黑体" w:cs="黑体"/>
        </w:rPr>
        <w:t>一、收入支出决算总表</w:t>
      </w:r>
      <w:r>
        <w:tab/>
      </w:r>
      <w:r>
        <w:fldChar w:fldCharType="begin"/>
      </w:r>
      <w:r>
        <w:instrText xml:space="preserve"> PAGEREF _Toc256000100 \h </w:instrText>
      </w:r>
      <w:r>
        <w:fldChar w:fldCharType="separate"/>
      </w:r>
      <w:r>
        <w:t>7</w:t>
      </w:r>
      <w:r>
        <w:fldChar w:fldCharType="end"/>
      </w:r>
      <w:r>
        <w:fldChar w:fldCharType="end"/>
      </w:r>
    </w:p>
    <w:p>
      <w:pPr>
        <w:pStyle w:val="10"/>
        <w:tabs>
          <w:tab w:val="right" w:leader="dot" w:pos="9730"/>
        </w:tabs>
        <w:rPr>
          <w:rFonts w:ascii="Calibri" w:hAnsi="Calibri"/>
          <w:sz w:val="22"/>
        </w:rPr>
      </w:pPr>
      <w:r>
        <w:fldChar w:fldCharType="begin"/>
      </w:r>
      <w:r>
        <w:instrText xml:space="preserve"> HYPERLINK \l "_Toc256000101" </w:instrText>
      </w:r>
      <w:r>
        <w:fldChar w:fldCharType="separate"/>
      </w:r>
      <w:r>
        <w:rPr>
          <w:rStyle w:val="21"/>
          <w:rFonts w:ascii="黑体" w:hAnsi="黑体" w:eastAsia="黑体" w:cs="黑体"/>
        </w:rPr>
        <w:t>二、收入决算表</w:t>
      </w:r>
      <w:r>
        <w:tab/>
      </w:r>
      <w:r>
        <w:fldChar w:fldCharType="begin"/>
      </w:r>
      <w:r>
        <w:instrText xml:space="preserve"> PAGEREF _Toc256000101 \h </w:instrText>
      </w:r>
      <w:r>
        <w:fldChar w:fldCharType="separate"/>
      </w:r>
      <w:r>
        <w:t>10</w:t>
      </w:r>
      <w:r>
        <w:fldChar w:fldCharType="end"/>
      </w:r>
      <w:r>
        <w:fldChar w:fldCharType="end"/>
      </w:r>
    </w:p>
    <w:p>
      <w:pPr>
        <w:pStyle w:val="10"/>
        <w:tabs>
          <w:tab w:val="right" w:leader="dot" w:pos="9730"/>
        </w:tabs>
        <w:rPr>
          <w:rFonts w:ascii="Calibri" w:hAnsi="Calibri"/>
          <w:sz w:val="22"/>
        </w:rPr>
      </w:pPr>
      <w:r>
        <w:fldChar w:fldCharType="begin"/>
      </w:r>
      <w:r>
        <w:instrText xml:space="preserve"> HYPERLINK \l "_Toc256000102" </w:instrText>
      </w:r>
      <w:r>
        <w:fldChar w:fldCharType="separate"/>
      </w:r>
      <w:r>
        <w:rPr>
          <w:rStyle w:val="21"/>
          <w:rFonts w:ascii="黑体" w:hAnsi="黑体" w:eastAsia="黑体" w:cs="黑体"/>
        </w:rPr>
        <w:t>三、支出决算表</w:t>
      </w:r>
      <w:r>
        <w:tab/>
      </w:r>
      <w:r>
        <w:fldChar w:fldCharType="begin"/>
      </w:r>
      <w:r>
        <w:instrText xml:space="preserve"> PAGEREF _Toc256000102 \h </w:instrText>
      </w:r>
      <w:r>
        <w:fldChar w:fldCharType="separate"/>
      </w:r>
      <w:r>
        <w:t>12</w:t>
      </w:r>
      <w:r>
        <w:fldChar w:fldCharType="end"/>
      </w:r>
      <w:r>
        <w:fldChar w:fldCharType="end"/>
      </w:r>
    </w:p>
    <w:p>
      <w:pPr>
        <w:pStyle w:val="10"/>
        <w:tabs>
          <w:tab w:val="right" w:leader="dot" w:pos="9730"/>
        </w:tabs>
        <w:rPr>
          <w:rFonts w:ascii="Calibri" w:hAnsi="Calibri"/>
          <w:sz w:val="22"/>
        </w:rPr>
      </w:pPr>
      <w:r>
        <w:fldChar w:fldCharType="begin"/>
      </w:r>
      <w:r>
        <w:instrText xml:space="preserve"> HYPERLINK \l "_Toc256000103" </w:instrText>
      </w:r>
      <w:r>
        <w:fldChar w:fldCharType="separate"/>
      </w:r>
      <w:r>
        <w:rPr>
          <w:rStyle w:val="21"/>
          <w:rFonts w:ascii="黑体" w:hAnsi="黑体" w:eastAsia="黑体" w:cs="黑体"/>
        </w:rPr>
        <w:t>四、财政拨款收入支出决算总表</w:t>
      </w:r>
      <w:r>
        <w:tab/>
      </w:r>
      <w:r>
        <w:fldChar w:fldCharType="begin"/>
      </w:r>
      <w:r>
        <w:instrText xml:space="preserve"> PAGEREF _Toc256000103 \h </w:instrText>
      </w:r>
      <w:r>
        <w:fldChar w:fldCharType="separate"/>
      </w:r>
      <w:r>
        <w:t>14</w:t>
      </w:r>
      <w:r>
        <w:fldChar w:fldCharType="end"/>
      </w:r>
      <w:r>
        <w:fldChar w:fldCharType="end"/>
      </w:r>
    </w:p>
    <w:p>
      <w:pPr>
        <w:pStyle w:val="10"/>
        <w:tabs>
          <w:tab w:val="right" w:leader="dot" w:pos="9730"/>
        </w:tabs>
        <w:rPr>
          <w:rFonts w:ascii="Calibri" w:hAnsi="Calibri"/>
          <w:sz w:val="22"/>
        </w:rPr>
      </w:pPr>
      <w:r>
        <w:fldChar w:fldCharType="begin"/>
      </w:r>
      <w:r>
        <w:instrText xml:space="preserve"> HYPERLINK \l "_Toc256000104" </w:instrText>
      </w:r>
      <w:r>
        <w:fldChar w:fldCharType="separate"/>
      </w:r>
      <w:r>
        <w:rPr>
          <w:rStyle w:val="21"/>
          <w:rFonts w:ascii="黑体" w:hAnsi="黑体" w:eastAsia="黑体" w:cs="黑体"/>
        </w:rPr>
        <w:t>五、一般公共预算财政拨款支出决算表</w:t>
      </w:r>
      <w:r>
        <w:tab/>
      </w:r>
      <w:r>
        <w:fldChar w:fldCharType="begin"/>
      </w:r>
      <w:r>
        <w:instrText xml:space="preserve"> PAGEREF _Toc256000104 \h </w:instrText>
      </w:r>
      <w:r>
        <w:fldChar w:fldCharType="separate"/>
      </w:r>
      <w:r>
        <w:t>19</w:t>
      </w:r>
      <w:r>
        <w:fldChar w:fldCharType="end"/>
      </w:r>
      <w:r>
        <w:fldChar w:fldCharType="end"/>
      </w:r>
    </w:p>
    <w:p>
      <w:pPr>
        <w:pStyle w:val="10"/>
        <w:tabs>
          <w:tab w:val="right" w:leader="dot" w:pos="9730"/>
        </w:tabs>
        <w:rPr>
          <w:rFonts w:ascii="Calibri" w:hAnsi="Calibri"/>
          <w:sz w:val="22"/>
        </w:rPr>
      </w:pPr>
      <w:r>
        <w:fldChar w:fldCharType="begin"/>
      </w:r>
      <w:r>
        <w:instrText xml:space="preserve"> HYPERLINK \l "_Toc256000105" </w:instrText>
      </w:r>
      <w:r>
        <w:fldChar w:fldCharType="separate"/>
      </w:r>
      <w:r>
        <w:rPr>
          <w:rStyle w:val="21"/>
          <w:rFonts w:ascii="黑体" w:hAnsi="黑体" w:eastAsia="黑体" w:cs="黑体"/>
        </w:rPr>
        <w:t>六、一般公共预算财政拨款基本支出决算表</w:t>
      </w:r>
      <w:r>
        <w:tab/>
      </w:r>
      <w:r>
        <w:fldChar w:fldCharType="begin"/>
      </w:r>
      <w:r>
        <w:instrText xml:space="preserve"> PAGEREF _Toc256000105 \h </w:instrText>
      </w:r>
      <w:r>
        <w:fldChar w:fldCharType="separate"/>
      </w:r>
      <w:r>
        <w:t>21</w:t>
      </w:r>
      <w:r>
        <w:fldChar w:fldCharType="end"/>
      </w:r>
      <w:r>
        <w:fldChar w:fldCharType="end"/>
      </w:r>
    </w:p>
    <w:p>
      <w:pPr>
        <w:pStyle w:val="10"/>
        <w:tabs>
          <w:tab w:val="right" w:leader="dot" w:pos="9730"/>
        </w:tabs>
        <w:rPr>
          <w:rFonts w:ascii="Calibri" w:hAnsi="Calibri"/>
          <w:sz w:val="22"/>
        </w:rPr>
      </w:pPr>
      <w:r>
        <w:fldChar w:fldCharType="begin"/>
      </w:r>
      <w:r>
        <w:instrText xml:space="preserve"> HYPERLINK \l "_Toc256000106" </w:instrText>
      </w:r>
      <w:r>
        <w:fldChar w:fldCharType="separate"/>
      </w:r>
      <w:r>
        <w:rPr>
          <w:rStyle w:val="21"/>
          <w:rFonts w:ascii="黑体" w:hAnsi="黑体" w:eastAsia="黑体" w:cs="黑体"/>
        </w:rPr>
        <w:t>七、一般公共预算财政拨款“三公”经费支出决算表</w:t>
      </w:r>
      <w:r>
        <w:tab/>
      </w:r>
      <w:r>
        <w:fldChar w:fldCharType="begin"/>
      </w:r>
      <w:r>
        <w:instrText xml:space="preserve"> PAGEREF _Toc256000106 \h </w:instrText>
      </w:r>
      <w:r>
        <w:fldChar w:fldCharType="separate"/>
      </w:r>
      <w:r>
        <w:t>25</w:t>
      </w:r>
      <w:r>
        <w:fldChar w:fldCharType="end"/>
      </w:r>
      <w:r>
        <w:fldChar w:fldCharType="end"/>
      </w:r>
    </w:p>
    <w:p>
      <w:pPr>
        <w:pStyle w:val="10"/>
        <w:tabs>
          <w:tab w:val="right" w:leader="dot" w:pos="9730"/>
        </w:tabs>
        <w:rPr>
          <w:rFonts w:ascii="Calibri" w:hAnsi="Calibri"/>
          <w:sz w:val="22"/>
        </w:rPr>
      </w:pPr>
      <w:r>
        <w:fldChar w:fldCharType="begin"/>
      </w:r>
      <w:r>
        <w:instrText xml:space="preserve"> HYPERLINK \l "_Toc256000107" </w:instrText>
      </w:r>
      <w:r>
        <w:fldChar w:fldCharType="separate"/>
      </w:r>
      <w:r>
        <w:rPr>
          <w:rStyle w:val="21"/>
          <w:rFonts w:ascii="黑体" w:hAnsi="黑体" w:eastAsia="黑体" w:cs="黑体"/>
        </w:rPr>
        <w:t>八、政府性基金预算财政拨款收入支出决算表</w:t>
      </w:r>
      <w:r>
        <w:tab/>
      </w:r>
      <w:r>
        <w:fldChar w:fldCharType="begin"/>
      </w:r>
      <w:r>
        <w:instrText xml:space="preserve"> PAGEREF _Toc256000107 \h </w:instrText>
      </w:r>
      <w:r>
        <w:fldChar w:fldCharType="separate"/>
      </w:r>
      <w:r>
        <w:t>26</w:t>
      </w:r>
      <w:r>
        <w:fldChar w:fldCharType="end"/>
      </w:r>
      <w:r>
        <w:fldChar w:fldCharType="end"/>
      </w:r>
    </w:p>
    <w:p>
      <w:pPr>
        <w:pStyle w:val="10"/>
        <w:tabs>
          <w:tab w:val="right" w:leader="dot" w:pos="9730"/>
        </w:tabs>
        <w:rPr>
          <w:rFonts w:ascii="Calibri" w:hAnsi="Calibri"/>
          <w:sz w:val="22"/>
        </w:rPr>
      </w:pPr>
      <w:r>
        <w:fldChar w:fldCharType="begin"/>
      </w:r>
      <w:r>
        <w:instrText xml:space="preserve"> HYPERLINK \l "_Toc256000108" </w:instrText>
      </w:r>
      <w:r>
        <w:fldChar w:fldCharType="separate"/>
      </w:r>
      <w:r>
        <w:rPr>
          <w:rStyle w:val="21"/>
          <w:rFonts w:ascii="黑体" w:hAnsi="黑体" w:eastAsia="黑体" w:cs="黑体"/>
        </w:rPr>
        <w:t>九、国有资本经营预算财政拨款支出决算表</w:t>
      </w:r>
      <w:r>
        <w:tab/>
      </w:r>
      <w:r>
        <w:fldChar w:fldCharType="begin"/>
      </w:r>
      <w:r>
        <w:instrText xml:space="preserve"> PAGEREF _Toc256000108 \h </w:instrText>
      </w:r>
      <w:r>
        <w:fldChar w:fldCharType="separate"/>
      </w:r>
      <w:r>
        <w:t>28</w:t>
      </w:r>
      <w:r>
        <w:fldChar w:fldCharType="end"/>
      </w:r>
      <w:r>
        <w:fldChar w:fldCharType="end"/>
      </w:r>
    </w:p>
    <w:p>
      <w:pPr>
        <w:pStyle w:val="17"/>
        <w:tabs>
          <w:tab w:val="right" w:leader="dot" w:pos="9730"/>
        </w:tabs>
        <w:rPr>
          <w:rFonts w:ascii="Calibri" w:hAnsi="Calibri"/>
          <w:sz w:val="22"/>
        </w:rPr>
      </w:pPr>
      <w:r>
        <w:fldChar w:fldCharType="begin"/>
      </w:r>
      <w:r>
        <w:instrText xml:space="preserve"> HYPERLINK \l "_Toc256000109" </w:instrText>
      </w:r>
      <w:r>
        <w:fldChar w:fldCharType="separate"/>
      </w:r>
      <w:r>
        <w:rPr>
          <w:rStyle w:val="21"/>
          <w:rFonts w:ascii="黑体" w:hAnsi="黑体" w:eastAsia="黑体" w:cs="黑体"/>
        </w:rPr>
        <w:t>第三部分</w:t>
      </w:r>
      <w:r>
        <w:tab/>
      </w:r>
      <w:r>
        <w:fldChar w:fldCharType="begin"/>
      </w:r>
      <w:r>
        <w:instrText xml:space="preserve"> PAGEREF _Toc256000109 \h </w:instrText>
      </w:r>
      <w:r>
        <w:fldChar w:fldCharType="separate"/>
      </w:r>
      <w:r>
        <w:t>30</w:t>
      </w:r>
      <w:r>
        <w:fldChar w:fldCharType="end"/>
      </w:r>
      <w:r>
        <w:fldChar w:fldCharType="end"/>
      </w:r>
    </w:p>
    <w:p>
      <w:pPr>
        <w:pStyle w:val="17"/>
        <w:tabs>
          <w:tab w:val="right" w:leader="dot" w:pos="9730"/>
        </w:tabs>
        <w:rPr>
          <w:rFonts w:ascii="Calibri" w:hAnsi="Calibri"/>
          <w:sz w:val="22"/>
        </w:rPr>
      </w:pPr>
      <w:r>
        <w:fldChar w:fldCharType="begin"/>
      </w:r>
      <w:r>
        <w:instrText xml:space="preserve"> HYPERLINK \l "_Toc256000110" </w:instrText>
      </w:r>
      <w:r>
        <w:fldChar w:fldCharType="separate"/>
      </w:r>
      <w:r>
        <w:rPr>
          <w:rStyle w:val="21"/>
          <w:rFonts w:ascii="黑体" w:hAnsi="黑体" w:eastAsia="黑体" w:cs="黑体"/>
        </w:rPr>
        <w:t>2024年度决算情况说明</w:t>
      </w:r>
      <w:r>
        <w:tab/>
      </w:r>
      <w:r>
        <w:fldChar w:fldCharType="begin"/>
      </w:r>
      <w:r>
        <w:instrText xml:space="preserve"> PAGEREF _Toc256000110 \h </w:instrText>
      </w:r>
      <w:r>
        <w:fldChar w:fldCharType="separate"/>
      </w:r>
      <w:r>
        <w:t>30</w:t>
      </w:r>
      <w:r>
        <w:fldChar w:fldCharType="end"/>
      </w:r>
      <w:r>
        <w:fldChar w:fldCharType="end"/>
      </w:r>
    </w:p>
    <w:p>
      <w:pPr>
        <w:pStyle w:val="10"/>
        <w:tabs>
          <w:tab w:val="right" w:leader="dot" w:pos="9730"/>
        </w:tabs>
        <w:rPr>
          <w:rFonts w:ascii="Calibri" w:hAnsi="Calibri"/>
          <w:sz w:val="22"/>
        </w:rPr>
      </w:pPr>
      <w:r>
        <w:fldChar w:fldCharType="begin"/>
      </w:r>
      <w:r>
        <w:instrText xml:space="preserve"> HYPERLINK \l "_Toc256000111" </w:instrText>
      </w:r>
      <w:r>
        <w:fldChar w:fldCharType="separate"/>
      </w:r>
      <w:r>
        <w:rPr>
          <w:rStyle w:val="21"/>
          <w:rFonts w:ascii="黑体" w:hAnsi="黑体" w:eastAsia="黑体" w:cs="黑体"/>
        </w:rPr>
        <w:t>一、收入支出决算总体情况说明</w:t>
      </w:r>
      <w:r>
        <w:tab/>
      </w:r>
      <w:r>
        <w:fldChar w:fldCharType="begin"/>
      </w:r>
      <w:r>
        <w:instrText xml:space="preserve"> PAGEREF _Toc256000111 \h </w:instrText>
      </w:r>
      <w:r>
        <w:fldChar w:fldCharType="separate"/>
      </w:r>
      <w:r>
        <w:t>31</w:t>
      </w:r>
      <w:r>
        <w:fldChar w:fldCharType="end"/>
      </w:r>
      <w:r>
        <w:fldChar w:fldCharType="end"/>
      </w:r>
    </w:p>
    <w:p>
      <w:pPr>
        <w:pStyle w:val="10"/>
        <w:tabs>
          <w:tab w:val="right" w:leader="dot" w:pos="9730"/>
        </w:tabs>
        <w:rPr>
          <w:rFonts w:ascii="Calibri" w:hAnsi="Calibri"/>
          <w:sz w:val="22"/>
        </w:rPr>
      </w:pPr>
      <w:r>
        <w:fldChar w:fldCharType="begin"/>
      </w:r>
      <w:r>
        <w:instrText xml:space="preserve"> HYPERLINK \l "_Toc256000112" </w:instrText>
      </w:r>
      <w:r>
        <w:fldChar w:fldCharType="separate"/>
      </w:r>
      <w:r>
        <w:rPr>
          <w:rStyle w:val="21"/>
          <w:rFonts w:ascii="黑体" w:hAnsi="黑体" w:eastAsia="黑体" w:cs="黑体"/>
        </w:rPr>
        <w:t>二、财政拨款收入支出决算总体情况说明</w:t>
      </w:r>
      <w:r>
        <w:tab/>
      </w:r>
      <w:r>
        <w:fldChar w:fldCharType="begin"/>
      </w:r>
      <w:r>
        <w:instrText xml:space="preserve"> PAGEREF _Toc256000112 \h </w:instrText>
      </w:r>
      <w:r>
        <w:fldChar w:fldCharType="separate"/>
      </w:r>
      <w:r>
        <w:t>32</w:t>
      </w:r>
      <w:r>
        <w:fldChar w:fldCharType="end"/>
      </w:r>
      <w:r>
        <w:fldChar w:fldCharType="end"/>
      </w:r>
    </w:p>
    <w:p>
      <w:pPr>
        <w:pStyle w:val="10"/>
        <w:tabs>
          <w:tab w:val="right" w:leader="dot" w:pos="9730"/>
        </w:tabs>
        <w:rPr>
          <w:rFonts w:ascii="Calibri" w:hAnsi="Calibri"/>
          <w:sz w:val="22"/>
        </w:rPr>
      </w:pPr>
      <w:r>
        <w:fldChar w:fldCharType="begin"/>
      </w:r>
      <w:r>
        <w:instrText xml:space="preserve"> HYPERLINK \l "_Toc256000113" </w:instrText>
      </w:r>
      <w:r>
        <w:fldChar w:fldCharType="separate"/>
      </w:r>
      <w:r>
        <w:rPr>
          <w:rStyle w:val="21"/>
          <w:rFonts w:ascii="黑体" w:hAnsi="黑体" w:eastAsia="黑体" w:cs="黑体"/>
        </w:rPr>
        <w:t>三、一般公共预算拨款支出决算情况说明</w:t>
      </w:r>
      <w:r>
        <w:tab/>
      </w:r>
      <w:r>
        <w:fldChar w:fldCharType="begin"/>
      </w:r>
      <w:r>
        <w:instrText xml:space="preserve"> PAGEREF _Toc256000113 \h </w:instrText>
      </w:r>
      <w:r>
        <w:fldChar w:fldCharType="separate"/>
      </w:r>
      <w:r>
        <w:t>32</w:t>
      </w:r>
      <w:r>
        <w:fldChar w:fldCharType="end"/>
      </w:r>
      <w:r>
        <w:fldChar w:fldCharType="end"/>
      </w:r>
    </w:p>
    <w:p>
      <w:pPr>
        <w:pStyle w:val="10"/>
        <w:tabs>
          <w:tab w:val="right" w:leader="dot" w:pos="9730"/>
        </w:tabs>
        <w:rPr>
          <w:rFonts w:ascii="Calibri" w:hAnsi="Calibri"/>
          <w:sz w:val="22"/>
        </w:rPr>
      </w:pPr>
      <w:r>
        <w:fldChar w:fldCharType="begin"/>
      </w:r>
      <w:r>
        <w:instrText xml:space="preserve"> HYPERLINK \l "_Toc256000114" </w:instrText>
      </w:r>
      <w:r>
        <w:fldChar w:fldCharType="separate"/>
      </w:r>
      <w:r>
        <w:rPr>
          <w:rStyle w:val="21"/>
          <w:rFonts w:ascii="黑体" w:hAnsi="黑体" w:eastAsia="黑体" w:cs="黑体"/>
        </w:rPr>
        <w:t>四、政府性基金预算财政拨款支出决算情况说明</w:t>
      </w:r>
      <w:r>
        <w:tab/>
      </w:r>
      <w:r>
        <w:fldChar w:fldCharType="begin"/>
      </w:r>
      <w:r>
        <w:instrText xml:space="preserve"> PAGEREF _Toc256000114 \h </w:instrText>
      </w:r>
      <w:r>
        <w:fldChar w:fldCharType="separate"/>
      </w:r>
      <w:r>
        <w:t>33</w:t>
      </w:r>
      <w:r>
        <w:fldChar w:fldCharType="end"/>
      </w:r>
      <w:r>
        <w:fldChar w:fldCharType="end"/>
      </w:r>
    </w:p>
    <w:p>
      <w:pPr>
        <w:pStyle w:val="10"/>
        <w:tabs>
          <w:tab w:val="right" w:leader="dot" w:pos="9730"/>
        </w:tabs>
        <w:rPr>
          <w:rFonts w:ascii="Calibri" w:hAnsi="Calibri"/>
          <w:sz w:val="22"/>
        </w:rPr>
      </w:pPr>
      <w:r>
        <w:fldChar w:fldCharType="begin"/>
      </w:r>
      <w:r>
        <w:instrText xml:space="preserve"> HYPERLINK \l "_Toc256000115" </w:instrText>
      </w:r>
      <w:r>
        <w:fldChar w:fldCharType="separate"/>
      </w:r>
      <w:r>
        <w:rPr>
          <w:rStyle w:val="21"/>
          <w:rFonts w:ascii="黑体" w:hAnsi="黑体" w:eastAsia="黑体" w:cs="黑体"/>
        </w:rPr>
        <w:t>五、国有资本经营预算财政拨款支出决算情况说明</w:t>
      </w:r>
      <w:r>
        <w:tab/>
      </w:r>
      <w:r>
        <w:fldChar w:fldCharType="begin"/>
      </w:r>
      <w:r>
        <w:instrText xml:space="preserve"> PAGEREF _Toc256000115 \h </w:instrText>
      </w:r>
      <w:r>
        <w:fldChar w:fldCharType="separate"/>
      </w:r>
      <w:r>
        <w:t>33</w:t>
      </w:r>
      <w:r>
        <w:fldChar w:fldCharType="end"/>
      </w:r>
      <w:r>
        <w:fldChar w:fldCharType="end"/>
      </w:r>
    </w:p>
    <w:p>
      <w:pPr>
        <w:pStyle w:val="10"/>
        <w:tabs>
          <w:tab w:val="right" w:leader="dot" w:pos="9730"/>
        </w:tabs>
        <w:rPr>
          <w:rFonts w:ascii="Calibri" w:hAnsi="Calibri"/>
          <w:sz w:val="22"/>
        </w:rPr>
      </w:pPr>
      <w:r>
        <w:fldChar w:fldCharType="begin"/>
      </w:r>
      <w:r>
        <w:instrText xml:space="preserve"> HYPERLINK \l "_Toc256000116" </w:instrText>
      </w:r>
      <w:r>
        <w:fldChar w:fldCharType="separate"/>
      </w:r>
      <w:r>
        <w:rPr>
          <w:rStyle w:val="21"/>
          <w:rFonts w:ascii="黑体" w:hAnsi="黑体" w:eastAsia="黑体" w:cs="黑体"/>
        </w:rPr>
        <w:t>六、一般公共预算财政拨款基本支出决算情况说明</w:t>
      </w:r>
      <w:r>
        <w:tab/>
      </w:r>
      <w:r>
        <w:fldChar w:fldCharType="begin"/>
      </w:r>
      <w:r>
        <w:instrText xml:space="preserve"> PAGEREF _Toc256000116 \h </w:instrText>
      </w:r>
      <w:r>
        <w:fldChar w:fldCharType="separate"/>
      </w:r>
      <w:r>
        <w:t>33</w:t>
      </w:r>
      <w:r>
        <w:fldChar w:fldCharType="end"/>
      </w:r>
      <w:r>
        <w:fldChar w:fldCharType="end"/>
      </w:r>
    </w:p>
    <w:p>
      <w:pPr>
        <w:pStyle w:val="10"/>
        <w:tabs>
          <w:tab w:val="right" w:leader="dot" w:pos="9730"/>
        </w:tabs>
        <w:rPr>
          <w:rFonts w:ascii="Calibri" w:hAnsi="Calibri"/>
          <w:sz w:val="22"/>
        </w:rPr>
      </w:pPr>
      <w:r>
        <w:fldChar w:fldCharType="begin"/>
      </w:r>
      <w:r>
        <w:instrText xml:space="preserve"> HYPERLINK \l "_Toc256000117" </w:instrText>
      </w:r>
      <w:r>
        <w:fldChar w:fldCharType="separate"/>
      </w:r>
      <w:r>
        <w:rPr>
          <w:rStyle w:val="21"/>
          <w:rFonts w:ascii="黑体" w:hAnsi="黑体" w:eastAsia="黑体" w:cs="黑体"/>
        </w:rPr>
        <w:t>七、一般公共预算拨款“三公”经费支出决算情况说明</w:t>
      </w:r>
      <w:r>
        <w:tab/>
      </w:r>
      <w:r>
        <w:fldChar w:fldCharType="begin"/>
      </w:r>
      <w:r>
        <w:instrText xml:space="preserve"> PAGEREF _Toc256000117 \h </w:instrText>
      </w:r>
      <w:r>
        <w:fldChar w:fldCharType="separate"/>
      </w:r>
      <w:r>
        <w:t>34</w:t>
      </w:r>
      <w:r>
        <w:fldChar w:fldCharType="end"/>
      </w:r>
      <w:r>
        <w:fldChar w:fldCharType="end"/>
      </w:r>
    </w:p>
    <w:p>
      <w:pPr>
        <w:pStyle w:val="10"/>
        <w:tabs>
          <w:tab w:val="right" w:leader="dot" w:pos="9730"/>
        </w:tabs>
        <w:rPr>
          <w:rFonts w:ascii="Calibri" w:hAnsi="Calibri"/>
          <w:sz w:val="22"/>
        </w:rPr>
      </w:pPr>
      <w:r>
        <w:fldChar w:fldCharType="begin"/>
      </w:r>
      <w:r>
        <w:instrText xml:space="preserve"> HYPERLINK \l "_Toc256000118" </w:instrText>
      </w:r>
      <w:r>
        <w:fldChar w:fldCharType="separate"/>
      </w:r>
      <w:r>
        <w:rPr>
          <w:rStyle w:val="21"/>
          <w:rFonts w:ascii="黑体" w:hAnsi="黑体" w:eastAsia="黑体" w:cs="黑体"/>
        </w:rPr>
        <w:t>八、预算绩效情况说明</w:t>
      </w:r>
      <w:r>
        <w:tab/>
      </w:r>
      <w:r>
        <w:fldChar w:fldCharType="begin"/>
      </w:r>
      <w:r>
        <w:instrText xml:space="preserve"> PAGEREF _Toc256000118 \h </w:instrText>
      </w:r>
      <w:r>
        <w:fldChar w:fldCharType="separate"/>
      </w:r>
      <w:r>
        <w:t>35</w:t>
      </w:r>
      <w:r>
        <w:fldChar w:fldCharType="end"/>
      </w:r>
      <w:r>
        <w:fldChar w:fldCharType="end"/>
      </w:r>
    </w:p>
    <w:p>
      <w:pPr>
        <w:pStyle w:val="10"/>
        <w:tabs>
          <w:tab w:val="right" w:leader="dot" w:pos="9730"/>
        </w:tabs>
        <w:rPr>
          <w:rFonts w:ascii="Calibri" w:hAnsi="Calibri"/>
          <w:sz w:val="22"/>
        </w:rPr>
      </w:pPr>
      <w:r>
        <w:fldChar w:fldCharType="begin"/>
      </w:r>
      <w:r>
        <w:instrText xml:space="preserve"> HYPERLINK \l "_Toc256000119" </w:instrText>
      </w:r>
      <w:r>
        <w:fldChar w:fldCharType="separate"/>
      </w:r>
      <w:r>
        <w:rPr>
          <w:rStyle w:val="21"/>
          <w:rFonts w:ascii="黑体" w:hAnsi="黑体" w:eastAsia="黑体" w:cs="黑体"/>
        </w:rPr>
        <w:t>九、其他重要事项说明</w:t>
      </w:r>
      <w:r>
        <w:tab/>
      </w:r>
      <w:r>
        <w:fldChar w:fldCharType="begin"/>
      </w:r>
      <w:r>
        <w:instrText xml:space="preserve"> PAGEREF _Toc256000119 \h </w:instrText>
      </w:r>
      <w:r>
        <w:fldChar w:fldCharType="separate"/>
      </w:r>
      <w:r>
        <w:t>35</w:t>
      </w:r>
      <w:r>
        <w:fldChar w:fldCharType="end"/>
      </w:r>
      <w:r>
        <w:fldChar w:fldCharType="end"/>
      </w:r>
    </w:p>
    <w:p>
      <w:pPr>
        <w:pStyle w:val="17"/>
        <w:tabs>
          <w:tab w:val="right" w:leader="dot" w:pos="9730"/>
        </w:tabs>
        <w:rPr>
          <w:rFonts w:ascii="Calibri" w:hAnsi="Calibri"/>
          <w:sz w:val="22"/>
        </w:rPr>
      </w:pPr>
      <w:r>
        <w:fldChar w:fldCharType="begin"/>
      </w:r>
      <w:r>
        <w:instrText xml:space="preserve"> HYPERLINK \l "_Toc256000120" </w:instrText>
      </w:r>
      <w:r>
        <w:fldChar w:fldCharType="separate"/>
      </w:r>
      <w:r>
        <w:rPr>
          <w:rStyle w:val="21"/>
          <w:rFonts w:ascii="黑体" w:hAnsi="黑体" w:eastAsia="黑体" w:cs="黑体"/>
        </w:rPr>
        <w:t>第四部分</w:t>
      </w:r>
      <w:r>
        <w:tab/>
      </w:r>
      <w:r>
        <w:fldChar w:fldCharType="begin"/>
      </w:r>
      <w:r>
        <w:instrText xml:space="preserve"> PAGEREF _Toc256000120 \h </w:instrText>
      </w:r>
      <w:r>
        <w:fldChar w:fldCharType="separate"/>
      </w:r>
      <w:r>
        <w:t>37</w:t>
      </w:r>
      <w:r>
        <w:fldChar w:fldCharType="end"/>
      </w:r>
      <w:r>
        <w:fldChar w:fldCharType="end"/>
      </w:r>
    </w:p>
    <w:p>
      <w:pPr>
        <w:pStyle w:val="17"/>
        <w:tabs>
          <w:tab w:val="right" w:leader="dot" w:pos="9730"/>
        </w:tabs>
        <w:rPr>
          <w:rFonts w:ascii="Calibri" w:hAnsi="Calibri"/>
          <w:sz w:val="22"/>
        </w:rPr>
      </w:pPr>
      <w:r>
        <w:fldChar w:fldCharType="begin"/>
      </w:r>
      <w:r>
        <w:instrText xml:space="preserve"> HYPERLINK \l "_Toc256000121" </w:instrText>
      </w:r>
      <w:r>
        <w:fldChar w:fldCharType="separate"/>
      </w:r>
      <w:r>
        <w:rPr>
          <w:rStyle w:val="21"/>
          <w:rFonts w:ascii="黑体" w:hAnsi="黑体" w:eastAsia="黑体" w:cs="黑体"/>
        </w:rPr>
        <w:t>名词解释</w:t>
      </w:r>
      <w:r>
        <w:tab/>
      </w:r>
      <w:r>
        <w:fldChar w:fldCharType="begin"/>
      </w:r>
      <w:r>
        <w:instrText xml:space="preserve"> PAGEREF _Toc256000121 \h </w:instrText>
      </w:r>
      <w:r>
        <w:fldChar w:fldCharType="separate"/>
      </w:r>
      <w:r>
        <w:t>37</w:t>
      </w:r>
      <w:r>
        <w:fldChar w:fldCharType="end"/>
      </w:r>
      <w:r>
        <w:fldChar w:fldCharType="end"/>
      </w:r>
    </w:p>
    <w:p>
      <w:pPr>
        <w:pStyle w:val="17"/>
        <w:tabs>
          <w:tab w:val="right" w:leader="dot" w:pos="9730"/>
        </w:tabs>
        <w:rPr>
          <w:rFonts w:ascii="Calibri" w:hAnsi="Calibri"/>
          <w:sz w:val="22"/>
        </w:rPr>
      </w:pPr>
      <w:r>
        <w:fldChar w:fldCharType="begin"/>
      </w:r>
      <w:r>
        <w:instrText xml:space="preserve"> HYPERLINK \l "_Toc256000122" </w:instrText>
      </w:r>
      <w:r>
        <w:fldChar w:fldCharType="separate"/>
      </w:r>
      <w:r>
        <w:rPr>
          <w:rStyle w:val="21"/>
          <w:rFonts w:ascii="黑体" w:hAnsi="黑体" w:eastAsia="黑体" w:cs="黑体"/>
        </w:rPr>
        <w:t>第五部分</w:t>
      </w:r>
      <w:r>
        <w:tab/>
      </w:r>
      <w:r>
        <w:fldChar w:fldCharType="begin"/>
      </w:r>
      <w:r>
        <w:instrText xml:space="preserve"> PAGEREF _Toc256000122 \h </w:instrText>
      </w:r>
      <w:r>
        <w:fldChar w:fldCharType="separate"/>
      </w:r>
      <w:r>
        <w:t>40</w:t>
      </w:r>
      <w:r>
        <w:fldChar w:fldCharType="end"/>
      </w:r>
      <w:r>
        <w:fldChar w:fldCharType="end"/>
      </w:r>
    </w:p>
    <w:p>
      <w:pPr>
        <w:pStyle w:val="17"/>
        <w:tabs>
          <w:tab w:val="right" w:leader="dot" w:pos="9730"/>
        </w:tabs>
        <w:rPr>
          <w:rFonts w:ascii="Calibri" w:hAnsi="Calibri"/>
          <w:sz w:val="22"/>
        </w:rPr>
      </w:pPr>
      <w:r>
        <w:fldChar w:fldCharType="begin"/>
      </w:r>
      <w:r>
        <w:instrText xml:space="preserve"> HYPERLINK \l "_Toc256000123" </w:instrText>
      </w:r>
      <w:r>
        <w:fldChar w:fldCharType="separate"/>
      </w:r>
      <w:r>
        <w:rPr>
          <w:rStyle w:val="21"/>
          <w:rFonts w:ascii="黑体" w:hAnsi="黑体" w:eastAsia="黑体" w:cs="黑体"/>
        </w:rPr>
        <w:t>附件</w:t>
      </w:r>
      <w:r>
        <w:tab/>
      </w:r>
      <w:r>
        <w:fldChar w:fldCharType="begin"/>
      </w:r>
      <w:r>
        <w:instrText xml:space="preserve"> PAGEREF _Toc256000123 \h </w:instrText>
      </w:r>
      <w:r>
        <w:fldChar w:fldCharType="separate"/>
      </w:r>
      <w:r>
        <w:t>40</w:t>
      </w:r>
      <w:r>
        <w:fldChar w:fldCharType="end"/>
      </w:r>
      <w:r>
        <w:fldChar w:fldCharType="end"/>
      </w:r>
    </w:p>
    <w:p>
      <w:pPr>
        <w:adjustRightInd w:val="0"/>
        <w:snapToGrid w:val="0"/>
        <w:rPr>
          <w:rFonts w:hint="eastAsia" w:ascii="仿宋" w:hAnsi="仿宋" w:eastAsia="仿宋" w:cs="仿宋"/>
          <w:b w:val="0"/>
          <w:bCs/>
          <w:kern w:val="2"/>
          <w:sz w:val="32"/>
          <w:szCs w:val="32"/>
          <w:lang w:val="en-US" w:eastAsia="zh-CN" w:bidi="ar-SA"/>
        </w:rPr>
        <w:sectPr>
          <w:footerReference r:id="rId5" w:type="default"/>
          <w:pgSz w:w="11906" w:h="16838"/>
          <w:pgMar w:top="1440" w:right="1083" w:bottom="1440" w:left="1083" w:header="0" w:footer="720" w:gutter="0"/>
          <w:cols w:space="720" w:num="1"/>
          <w:rtlGutter w:val="0"/>
          <w:docGrid w:type="lines" w:linePitch="317" w:charSpace="0"/>
        </w:sectPr>
      </w:pPr>
      <w:r>
        <w:rPr>
          <w:rFonts w:hint="eastAsia" w:ascii="仿宋" w:hAnsi="仿宋" w:eastAsia="仿宋" w:cs="仿宋"/>
          <w:b w:val="0"/>
          <w:bCs/>
          <w:kern w:val="2"/>
          <w:sz w:val="32"/>
          <w:szCs w:val="32"/>
          <w:lang w:val="en-US" w:eastAsia="zh-CN" w:bidi="ar-SA"/>
        </w:rPr>
        <w:fldChar w:fldCharType="end"/>
      </w:r>
    </w:p>
    <w:p>
      <w:pPr>
        <w:pStyle w:val="23"/>
        <w:widowControl/>
        <w:spacing w:before="100" w:after="270"/>
        <w:ind w:left="0" w:right="0" w:firstLine="0"/>
        <w:jc w:val="center"/>
        <w:rPr>
          <w:rFonts w:ascii="Times New Roman" w:hAnsi="Times New Roman" w:eastAsia="Times New Roman" w:cs="Times New Roman"/>
          <w:kern w:val="0"/>
          <w:sz w:val="24"/>
        </w:rPr>
      </w:pPr>
      <w:bookmarkStart w:id="0" w:name="a000"/>
    </w:p>
    <w:p>
      <w:pPr>
        <w:pStyle w:val="23"/>
        <w:widowControl/>
        <w:spacing w:before="100" w:after="100"/>
        <w:ind w:left="0" w:right="0" w:firstLine="0"/>
        <w:jc w:val="center"/>
        <w:rPr>
          <w:rFonts w:ascii="Times New Roman" w:hAnsi="Times New Roman" w:eastAsia="Times New Roman" w:cs="Times New Roman"/>
          <w:kern w:val="0"/>
          <w:sz w:val="24"/>
        </w:rPr>
      </w:pPr>
      <w:r>
        <w:rPr>
          <w:rFonts w:ascii="Calibri" w:hAnsi="Calibri" w:eastAsia="Calibri" w:cs="Calibri"/>
          <w:spacing w:val="0"/>
          <w:kern w:val="0"/>
          <w:sz w:val="84"/>
          <w:szCs w:val="84"/>
        </w:rPr>
        <w:t> </w:t>
      </w: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pStyle w:val="3"/>
        <w:spacing w:before="100" w:after="100" w:line="240" w:lineRule="auto"/>
        <w:ind w:left="0" w:right="0" w:firstLine="0" w:firstLineChars="0"/>
        <w:rPr>
          <w:rFonts w:ascii="Times New Roman" w:hAnsi="Times New Roman" w:eastAsia="Times New Roman" w:cs="Times New Roman"/>
          <w:b/>
          <w:bCs/>
          <w:kern w:val="0"/>
          <w:sz w:val="36"/>
          <w:szCs w:val="36"/>
        </w:rPr>
      </w:pPr>
      <w:bookmarkStart w:id="1" w:name="_Toc256000093"/>
      <w:bookmarkStart w:id="2" w:name="_Toc256000062"/>
      <w:bookmarkStart w:id="3" w:name="_Toc256000000"/>
      <w:bookmarkStart w:id="4" w:name="_Toc256000031"/>
      <w:r>
        <w:rPr>
          <w:rFonts w:ascii="黑体" w:hAnsi="黑体" w:eastAsia="黑体" w:cs="黑体"/>
          <w:b/>
          <w:spacing w:val="0"/>
          <w:sz w:val="56"/>
          <w:szCs w:val="56"/>
        </w:rPr>
        <w:t>第一部分</w:t>
      </w:r>
      <w:bookmarkEnd w:id="1"/>
      <w:bookmarkEnd w:id="2"/>
      <w:bookmarkEnd w:id="3"/>
      <w:bookmarkEnd w:id="4"/>
      <w:r>
        <w:rPr>
          <w:rFonts w:ascii="宋体" w:hAnsi="宋体" w:eastAsia="宋体" w:cs="宋体"/>
          <w:b/>
          <w:spacing w:val="0"/>
          <w:sz w:val="56"/>
          <w:szCs w:val="56"/>
        </w:rPr>
        <w:t> </w:t>
      </w:r>
    </w:p>
    <w:p>
      <w:pPr>
        <w:pStyle w:val="3"/>
        <w:spacing w:before="100" w:after="100" w:line="240" w:lineRule="auto"/>
        <w:ind w:left="0" w:right="0" w:firstLine="0" w:firstLineChars="0"/>
        <w:jc w:val="center"/>
        <w:rPr>
          <w:rFonts w:ascii="Times New Roman" w:hAnsi="Times New Roman" w:eastAsia="Times New Roman" w:cs="Times New Roman"/>
          <w:b/>
          <w:bCs/>
          <w:kern w:val="0"/>
          <w:sz w:val="36"/>
          <w:szCs w:val="36"/>
        </w:rPr>
      </w:pPr>
      <w:bookmarkStart w:id="5" w:name="_Toc256000094"/>
      <w:bookmarkStart w:id="6" w:name="_Toc256000032"/>
      <w:bookmarkStart w:id="7" w:name="_Toc256000001"/>
      <w:bookmarkStart w:id="8" w:name="_Toc256000063"/>
      <w:r>
        <w:rPr>
          <w:rFonts w:ascii="黑体" w:hAnsi="黑体" w:eastAsia="黑体" w:cs="黑体"/>
          <w:b/>
          <w:spacing w:val="0"/>
          <w:sz w:val="56"/>
          <w:szCs w:val="56"/>
        </w:rPr>
        <w:t>单位概况</w:t>
      </w:r>
      <w:bookmarkEnd w:id="5"/>
      <w:bookmarkEnd w:id="6"/>
      <w:bookmarkEnd w:id="7"/>
      <w:bookmarkEnd w:id="8"/>
    </w:p>
    <w:p>
      <w:pPr>
        <w:pStyle w:val="24"/>
        <w:widowControl/>
        <w:spacing w:before="100" w:after="100"/>
        <w:ind w:left="0" w:right="0" w:firstLine="0"/>
        <w:jc w:val="center"/>
        <w:rPr>
          <w:rFonts w:ascii="Times New Roman" w:hAnsi="Times New Roman" w:eastAsia="Times New Roman" w:cs="Times New Roman"/>
          <w:kern w:val="0"/>
          <w:sz w:val="24"/>
        </w:rPr>
      </w:pPr>
    </w:p>
    <w:p>
      <w:pPr>
        <w:sectPr>
          <w:footerReference r:id="rId6" w:type="default"/>
          <w:pgSz w:w="11906" w:h="16838"/>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page break</w:t>
      </w:r>
    </w:p>
    <w:p>
      <w:pPr>
        <w:widowControl/>
        <w:spacing w:before="240" w:after="240"/>
        <w:jc w:val="left"/>
        <w:rPr>
          <w:rFonts w:ascii="Times New Roman" w:hAnsi="Times New Roman" w:eastAsia="Times New Roman" w:cs="Times New Roman"/>
          <w:kern w:val="0"/>
          <w:sz w:val="24"/>
        </w:rPr>
      </w:pPr>
    </w:p>
    <w:p>
      <w:pPr>
        <w:pStyle w:val="5"/>
        <w:spacing w:before="100" w:after="100" w:line="240" w:lineRule="auto"/>
        <w:ind w:left="0" w:right="0" w:firstLine="0" w:firstLineChars="0"/>
        <w:rPr>
          <w:rFonts w:ascii="Times New Roman" w:hAnsi="Times New Roman" w:eastAsia="Times New Roman" w:cs="Times New Roman"/>
          <w:b/>
          <w:bCs/>
          <w:kern w:val="0"/>
          <w:sz w:val="28"/>
          <w:szCs w:val="28"/>
        </w:rPr>
      </w:pPr>
      <w:r>
        <w:rPr>
          <w:rFonts w:ascii="Calibri" w:hAnsi="Calibri" w:eastAsia="Calibri" w:cs="Calibri"/>
          <w:b/>
          <w:spacing w:val="0"/>
        </w:rPr>
        <w:t> </w:t>
      </w:r>
      <w:r>
        <w:rPr>
          <w:rFonts w:ascii="黑体" w:hAnsi="黑体" w:eastAsia="黑体" w:cs="黑体"/>
          <w:b/>
          <w:spacing w:val="0"/>
        </w:rPr>
        <w:t xml:space="preserve"> </w:t>
      </w:r>
      <w:r>
        <w:rPr>
          <w:rFonts w:ascii="Calibri" w:hAnsi="Calibri" w:eastAsia="Calibri" w:cs="Calibri"/>
          <w:b/>
          <w:spacing w:val="0"/>
        </w:rPr>
        <w:t> </w:t>
      </w:r>
      <w:r>
        <w:rPr>
          <w:rFonts w:ascii="黑体" w:hAnsi="黑体" w:eastAsia="黑体" w:cs="黑体"/>
          <w:b/>
          <w:spacing w:val="0"/>
        </w:rPr>
        <w:t xml:space="preserve"> </w:t>
      </w:r>
      <w:bookmarkStart w:id="9" w:name="_Toc256000033"/>
      <w:bookmarkStart w:id="10" w:name="_Toc256000064"/>
      <w:bookmarkStart w:id="11" w:name="_Toc256000095"/>
      <w:bookmarkStart w:id="12" w:name="_Toc256000002"/>
      <w:r>
        <w:rPr>
          <w:rFonts w:ascii="黑体" w:hAnsi="黑体" w:eastAsia="黑体" w:cs="黑体"/>
          <w:b/>
          <w:spacing w:val="0"/>
        </w:rPr>
        <w:t>一、单位主要职责</w:t>
      </w:r>
      <w:bookmarkEnd w:id="9"/>
      <w:bookmarkEnd w:id="10"/>
      <w:bookmarkEnd w:id="11"/>
      <w:bookmarkEnd w:id="12"/>
    </w:p>
    <w:p>
      <w:pPr>
        <w:pStyle w:val="23"/>
        <w:widowControl/>
        <w:spacing w:before="100" w:after="100" w:line="600" w:lineRule="atLeast"/>
        <w:ind w:left="0" w:right="0" w:firstLine="640"/>
        <w:jc w:val="left"/>
        <w:rPr>
          <w:rFonts w:ascii="仿宋_GB2312" w:hAnsi="仿宋_GB2312" w:eastAsia="仿宋_GB2312" w:cs="仿宋_GB2312"/>
          <w:spacing w:val="0"/>
          <w:kern w:val="0"/>
          <w:sz w:val="32"/>
          <w:szCs w:val="32"/>
        </w:rPr>
      </w:pPr>
      <w:r>
        <w:rPr>
          <w:rFonts w:ascii="仿宋_GB2312" w:hAnsi="仿宋_GB2312" w:eastAsia="仿宋_GB2312" w:cs="仿宋_GB2312"/>
          <w:spacing w:val="0"/>
          <w:kern w:val="0"/>
          <w:sz w:val="32"/>
          <w:szCs w:val="32"/>
        </w:rPr>
        <w:t>厦门市思明区计划生育协会（本级）单位的主要职责是：</w:t>
      </w:r>
    </w:p>
    <w:p>
      <w:pPr>
        <w:pStyle w:val="23"/>
        <w:widowControl/>
        <w:spacing w:before="100" w:after="100" w:line="600" w:lineRule="atLeast"/>
        <w:ind w:left="0" w:right="0"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color w:val="auto"/>
          <w:spacing w:val="0"/>
          <w:sz w:val="32"/>
          <w:szCs w:val="32"/>
          <w:lang w:val="en-US" w:eastAsia="zh-CN"/>
        </w:rPr>
        <w:t>聚焦生育支持和家庭健康两大主题，</w:t>
      </w:r>
      <w:r>
        <w:rPr>
          <w:rFonts w:hint="eastAsia" w:ascii="仿宋_GB2312" w:hAnsi="仿宋_GB2312" w:eastAsia="仿宋_GB2312" w:cs="仿宋_GB2312"/>
          <w:b w:val="0"/>
          <w:bCs w:val="0"/>
          <w:color w:val="auto"/>
          <w:spacing w:val="0"/>
          <w:w w:val="100"/>
          <w:sz w:val="32"/>
          <w:szCs w:val="32"/>
          <w:lang w:val="en-US" w:eastAsia="zh-CN" w:bidi="ar-SA"/>
        </w:rPr>
        <w:t>坚持“抓党建强发展、抓项目促提升、抓能力保笃行”的工作思路，开展新型婚育文化</w:t>
      </w:r>
      <w:r>
        <w:rPr>
          <w:rFonts w:hint="eastAsia" w:ascii="仿宋_GB2312" w:hAnsi="仿宋_GB2312" w:eastAsia="仿宋_GB2312" w:cs="仿宋_GB2312"/>
          <w:b w:val="0"/>
          <w:bCs w:val="0"/>
          <w:color w:val="auto"/>
          <w:sz w:val="32"/>
          <w:szCs w:val="32"/>
          <w:lang w:eastAsia="zh-CN"/>
        </w:rPr>
        <w:t>宣传，优生优育指导，计生家庭帮扶，家庭健康促进</w:t>
      </w:r>
      <w:r>
        <w:rPr>
          <w:rFonts w:hint="eastAsia" w:ascii="仿宋_GB2312" w:hAnsi="仿宋_GB2312" w:eastAsia="仿宋_GB2312" w:cs="仿宋_GB2312"/>
          <w:b w:val="0"/>
          <w:bCs w:val="0"/>
          <w:color w:val="auto"/>
          <w:spacing w:val="0"/>
          <w:sz w:val="32"/>
          <w:szCs w:val="32"/>
          <w:lang w:val="en-US" w:eastAsia="zh-CN"/>
        </w:rPr>
        <w:t>活动，持续推进“六项重点任务”提质增效</w:t>
      </w:r>
      <w:r>
        <w:rPr>
          <w:rFonts w:hint="eastAsia" w:ascii="仿宋_GB2312" w:hAnsi="仿宋_GB2312" w:eastAsia="仿宋_GB2312" w:cs="仿宋_GB2312"/>
          <w:b w:val="0"/>
          <w:bCs w:val="0"/>
          <w:color w:val="auto"/>
          <w:spacing w:val="0"/>
          <w:w w:val="100"/>
          <w:sz w:val="32"/>
          <w:szCs w:val="32"/>
          <w:lang w:val="en-US" w:eastAsia="zh-CN" w:bidi="ar-SA"/>
        </w:rPr>
        <w:t>。开展主题教育</w:t>
      </w:r>
      <w:r>
        <w:rPr>
          <w:rFonts w:hint="eastAsia" w:ascii="仿宋_GB2312" w:hAnsi="仿宋_GB2312" w:eastAsia="仿宋_GB2312" w:cs="仿宋_GB2312"/>
          <w:b w:val="0"/>
          <w:bCs w:val="0"/>
          <w:color w:val="auto"/>
          <w:sz w:val="32"/>
          <w:szCs w:val="32"/>
        </w:rPr>
        <w:t>，落实意识形态工作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开展母亲节、“5.29”“12.1”预防艾滋病、优生优育优教、青春健康宣传。开展幸福工程、计生家庭意外伤害保险、计生失独家庭住院护理保险、两节慰问、励志助学，</w:t>
      </w:r>
      <w:r>
        <w:rPr>
          <w:rFonts w:hint="eastAsia" w:ascii="仿宋_GB2312" w:hAnsi="仿宋_GB2312" w:eastAsia="仿宋_GB2312" w:cs="仿宋_GB2312"/>
          <w:b w:val="0"/>
          <w:bCs w:val="0"/>
          <w:color w:val="auto"/>
          <w:sz w:val="32"/>
          <w:szCs w:val="32"/>
          <w:lang w:eastAsia="zh-CN"/>
        </w:rPr>
        <w:t>持续</w:t>
      </w:r>
      <w:r>
        <w:rPr>
          <w:rFonts w:hint="eastAsia" w:ascii="仿宋_GB2312" w:hAnsi="仿宋_GB2312" w:eastAsia="仿宋_GB2312" w:cs="仿宋_GB2312"/>
          <w:b w:val="0"/>
          <w:bCs w:val="0"/>
          <w:color w:val="auto"/>
          <w:sz w:val="32"/>
          <w:szCs w:val="32"/>
        </w:rPr>
        <w:t>创建计生特殊家庭扶助“暖心家园”、</w:t>
      </w:r>
      <w:r>
        <w:rPr>
          <w:rFonts w:hint="eastAsia" w:ascii="仿宋_GB2312" w:hAnsi="仿宋_GB2312" w:eastAsia="仿宋_GB2312" w:cs="仿宋_GB2312"/>
          <w:b w:val="0"/>
          <w:bCs w:val="0"/>
          <w:color w:val="auto"/>
          <w:sz w:val="32"/>
          <w:szCs w:val="32"/>
          <w:lang w:eastAsia="zh-CN"/>
        </w:rPr>
        <w:t>青春健康、</w:t>
      </w:r>
      <w:r>
        <w:rPr>
          <w:rFonts w:hint="eastAsia" w:ascii="仿宋_GB2312" w:hAnsi="仿宋_GB2312" w:eastAsia="仿宋_GB2312" w:cs="仿宋_GB2312"/>
          <w:b w:val="0"/>
          <w:bCs w:val="0"/>
          <w:color w:val="auto"/>
          <w:sz w:val="32"/>
          <w:szCs w:val="32"/>
        </w:rPr>
        <w:t>家庭健康服务中心等国家级项目点，</w:t>
      </w:r>
      <w:r>
        <w:rPr>
          <w:rFonts w:hint="eastAsia" w:ascii="仿宋_GB2312" w:hAnsi="仿宋_GB2312" w:eastAsia="仿宋_GB2312" w:cs="仿宋_GB2312"/>
          <w:b w:val="0"/>
          <w:bCs w:val="0"/>
          <w:color w:val="auto"/>
          <w:sz w:val="32"/>
          <w:szCs w:val="32"/>
          <w:lang w:eastAsia="zh-CN"/>
        </w:rPr>
        <w:t>建立“向日葵”亲子小屋开展婴幼儿早期发展活动，</w:t>
      </w:r>
      <w:r>
        <w:rPr>
          <w:rFonts w:hint="eastAsia" w:ascii="仿宋_GB2312" w:hAnsi="仿宋_GB2312" w:eastAsia="仿宋_GB2312" w:cs="仿宋_GB2312"/>
          <w:b w:val="0"/>
          <w:bCs w:val="0"/>
          <w:color w:val="auto"/>
          <w:sz w:val="32"/>
          <w:szCs w:val="32"/>
        </w:rPr>
        <w:t>参与</w:t>
      </w:r>
      <w:r>
        <w:rPr>
          <w:rFonts w:hint="eastAsia" w:ascii="仿宋_GB2312" w:hAnsi="仿宋_GB2312" w:eastAsia="仿宋_GB2312" w:cs="仿宋_GB2312"/>
          <w:b w:val="0"/>
          <w:bCs w:val="0"/>
          <w:color w:val="auto"/>
          <w:sz w:val="32"/>
          <w:szCs w:val="32"/>
          <w:lang w:eastAsia="zh-CN"/>
        </w:rPr>
        <w:t>“近邻思明”</w:t>
      </w:r>
      <w:r>
        <w:rPr>
          <w:rFonts w:hint="eastAsia" w:ascii="仿宋_GB2312" w:hAnsi="仿宋_GB2312" w:eastAsia="仿宋_GB2312" w:cs="仿宋_GB2312"/>
          <w:b w:val="0"/>
          <w:bCs w:val="0"/>
          <w:color w:val="auto"/>
          <w:sz w:val="32"/>
          <w:szCs w:val="32"/>
        </w:rPr>
        <w:t>“爱心厦门”“金色阳光志愿”服务，以及政府购买服务等工作。开展党建、平安创建、保密、绩效</w:t>
      </w:r>
      <w:r>
        <w:rPr>
          <w:rFonts w:hint="eastAsia" w:ascii="仿宋_GB2312" w:hAnsi="仿宋_GB2312" w:eastAsia="仿宋_GB2312" w:cs="仿宋_GB2312"/>
          <w:b w:val="0"/>
          <w:bCs w:val="0"/>
          <w:color w:val="auto"/>
          <w:sz w:val="32"/>
          <w:szCs w:val="32"/>
          <w:lang w:eastAsia="zh-CN"/>
        </w:rPr>
        <w:t>管理</w:t>
      </w:r>
      <w:r>
        <w:rPr>
          <w:rFonts w:hint="eastAsia" w:ascii="仿宋_GB2312" w:hAnsi="仿宋_GB2312" w:eastAsia="仿宋_GB2312" w:cs="仿宋_GB2312"/>
          <w:b w:val="0"/>
          <w:bCs w:val="0"/>
          <w:color w:val="auto"/>
          <w:sz w:val="32"/>
          <w:szCs w:val="32"/>
        </w:rPr>
        <w:t>、文明创建等工作。</w:t>
      </w:r>
    </w:p>
    <w:p>
      <w:pPr>
        <w:pStyle w:val="5"/>
        <w:spacing w:before="100" w:after="100" w:line="600" w:lineRule="atLeast"/>
        <w:ind w:left="0" w:right="0" w:firstLine="640" w:firstLineChars="0"/>
        <w:rPr>
          <w:rFonts w:ascii="Times New Roman" w:hAnsi="Times New Roman" w:eastAsia="Times New Roman" w:cs="Times New Roman"/>
          <w:b/>
          <w:bCs/>
          <w:kern w:val="0"/>
          <w:sz w:val="28"/>
          <w:szCs w:val="28"/>
        </w:rPr>
      </w:pPr>
      <w:bookmarkStart w:id="13" w:name="_Toc256000065"/>
      <w:bookmarkStart w:id="14" w:name="_Toc256000003"/>
      <w:bookmarkStart w:id="15" w:name="_Toc256000034"/>
      <w:bookmarkStart w:id="16" w:name="_Toc256000096"/>
      <w:r>
        <w:rPr>
          <w:rFonts w:ascii="黑体" w:hAnsi="黑体" w:eastAsia="黑体" w:cs="黑体"/>
          <w:b/>
          <w:spacing w:val="0"/>
        </w:rPr>
        <w:t>二、单位基本情况</w:t>
      </w:r>
      <w:bookmarkEnd w:id="13"/>
      <w:bookmarkEnd w:id="14"/>
      <w:bookmarkEnd w:id="15"/>
      <w:bookmarkEnd w:id="16"/>
    </w:p>
    <w:p>
      <w:pPr>
        <w:pStyle w:val="23"/>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从决算单位构成看，本单位包括个内设机构，其中：列入2024年决算编制范围的单位详细情况见下表:</w:t>
      </w:r>
    </w:p>
    <w:tbl>
      <w:tblPr>
        <w:tblW w:w="10510" w:type="dxa"/>
        <w:tblInd w:w="3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
      <w:tblGrid>
        <w:gridCol w:w="3665"/>
        <w:gridCol w:w="6845"/>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tblHeader/>
        </w:trPr>
        <w:tc>
          <w:tcPr>
            <w:tcW w:w="3665" w:type="dxa"/>
            <w:tcBorders>
              <w:right w:val="inset" w:color="808080" w:sz="6" w:space="0"/>
            </w:tcBorders>
            <w:tcMar>
              <w:top w:w="22" w:type="dxa"/>
              <w:left w:w="22" w:type="dxa"/>
              <w:bottom w:w="22" w:type="dxa"/>
              <w:right w:w="22" w:type="dxa"/>
            </w:tcMar>
            <w:vAlign w:val="center"/>
          </w:tcPr>
          <w:p>
            <w:pPr>
              <w:widowControl/>
              <w:ind w:firstLine="640"/>
              <w:jc w:val="center"/>
              <w:rPr>
                <w:rFonts w:ascii="仿宋_GB2312" w:hAnsi="仿宋_GB2312" w:eastAsia="仿宋_GB2312" w:cs="仿宋_GB2312"/>
                <w:b/>
                <w:bCs/>
                <w:i w:val="0"/>
                <w:iCs w:val="0"/>
                <w:smallCaps w:val="0"/>
                <w:color w:val="000000"/>
                <w:spacing w:val="0"/>
                <w:kern w:val="0"/>
                <w:sz w:val="24"/>
              </w:rPr>
            </w:pPr>
            <w:r>
              <w:rPr>
                <w:rFonts w:ascii="仿宋_GB2312" w:hAnsi="仿宋_GB2312" w:eastAsia="仿宋_GB2312" w:cs="仿宋_GB2312"/>
                <w:b/>
                <w:bCs/>
                <w:i w:val="0"/>
                <w:iCs w:val="0"/>
                <w:smallCaps w:val="0"/>
                <w:color w:val="000000"/>
                <w:spacing w:val="0"/>
                <w:kern w:val="0"/>
                <w:sz w:val="24"/>
              </w:rPr>
              <w:t>序号</w:t>
            </w:r>
          </w:p>
        </w:tc>
        <w:tc>
          <w:tcPr>
            <w:tcW w:w="6845" w:type="dxa"/>
            <w:tcBorders>
              <w:left w:val="inset" w:color="808080" w:sz="6" w:space="0"/>
            </w:tcBorders>
            <w:tcMar>
              <w:top w:w="22" w:type="dxa"/>
              <w:left w:w="22" w:type="dxa"/>
              <w:bottom w:w="22" w:type="dxa"/>
              <w:right w:w="22" w:type="dxa"/>
            </w:tcMar>
            <w:vAlign w:val="center"/>
          </w:tcPr>
          <w:p>
            <w:pPr>
              <w:widowControl/>
              <w:ind w:firstLine="640"/>
              <w:jc w:val="center"/>
              <w:rPr>
                <w:rFonts w:ascii="仿宋_GB2312" w:hAnsi="仿宋_GB2312" w:eastAsia="仿宋_GB2312" w:cs="仿宋_GB2312"/>
                <w:b/>
                <w:bCs/>
                <w:i w:val="0"/>
                <w:iCs w:val="0"/>
                <w:smallCaps w:val="0"/>
                <w:color w:val="000000"/>
                <w:spacing w:val="0"/>
                <w:kern w:val="0"/>
                <w:sz w:val="24"/>
              </w:rPr>
            </w:pPr>
            <w:r>
              <w:rPr>
                <w:rFonts w:ascii="仿宋_GB2312" w:hAnsi="仿宋_GB2312" w:eastAsia="仿宋_GB2312" w:cs="仿宋_GB2312"/>
                <w:b/>
                <w:bCs/>
                <w:i w:val="0"/>
                <w:iCs w:val="0"/>
                <w:smallCaps w:val="0"/>
                <w:color w:val="000000"/>
                <w:spacing w:val="0"/>
                <w:kern w:val="0"/>
                <w:sz w:val="24"/>
              </w:rPr>
              <w:t>单位名称</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tblHeader/>
        </w:trPr>
        <w:tc>
          <w:tcPr>
            <w:tcW w:w="3665" w:type="dxa"/>
            <w:tcBorders>
              <w:right w:val="inset" w:color="808080" w:sz="6" w:space="0"/>
            </w:tcBorders>
            <w:tcMar>
              <w:top w:w="22" w:type="dxa"/>
              <w:left w:w="22" w:type="dxa"/>
              <w:bottom w:w="22" w:type="dxa"/>
              <w:right w:w="22" w:type="dxa"/>
            </w:tcMar>
            <w:vAlign w:val="center"/>
          </w:tcPr>
          <w:p>
            <w:pPr>
              <w:widowControl/>
              <w:ind w:firstLine="640"/>
              <w:jc w:val="center"/>
              <w:rPr>
                <w:rFonts w:hint="eastAsia" w:ascii="仿宋_GB2312" w:hAnsi="仿宋_GB2312" w:eastAsia="仿宋_GB2312" w:cs="仿宋_GB2312"/>
                <w:b/>
                <w:bCs/>
                <w:i w:val="0"/>
                <w:iCs w:val="0"/>
                <w:smallCaps w:val="0"/>
                <w:color w:val="000000"/>
                <w:spacing w:val="0"/>
                <w:kern w:val="0"/>
                <w:sz w:val="24"/>
                <w:lang w:val="en-US" w:eastAsia="zh-CN"/>
              </w:rPr>
            </w:pPr>
            <w:bookmarkStart w:id="17" w:name="_Toc256000066"/>
            <w:bookmarkStart w:id="18" w:name="_Toc256000035"/>
            <w:bookmarkStart w:id="19" w:name="_Toc256000097"/>
            <w:bookmarkStart w:id="20" w:name="_Toc256000004"/>
            <w:r>
              <w:rPr>
                <w:rFonts w:hint="eastAsia" w:ascii="仿宋_GB2312" w:hAnsi="仿宋_GB2312" w:eastAsia="仿宋_GB2312" w:cs="仿宋_GB2312"/>
                <w:b/>
                <w:bCs/>
                <w:i w:val="0"/>
                <w:iCs w:val="0"/>
                <w:smallCaps w:val="0"/>
                <w:color w:val="000000"/>
                <w:spacing w:val="0"/>
                <w:kern w:val="0"/>
                <w:sz w:val="24"/>
                <w:lang w:val="en-US" w:eastAsia="zh-CN"/>
              </w:rPr>
              <w:t>1</w:t>
            </w:r>
          </w:p>
        </w:tc>
        <w:tc>
          <w:tcPr>
            <w:tcW w:w="6845" w:type="dxa"/>
            <w:tcBorders>
              <w:left w:val="inset" w:color="808080" w:sz="6" w:space="0"/>
            </w:tcBorders>
            <w:tcMar>
              <w:top w:w="22" w:type="dxa"/>
              <w:left w:w="22" w:type="dxa"/>
              <w:bottom w:w="22" w:type="dxa"/>
              <w:right w:w="22" w:type="dxa"/>
            </w:tcMar>
            <w:vAlign w:val="center"/>
          </w:tcPr>
          <w:p>
            <w:pPr>
              <w:widowControl/>
              <w:ind w:firstLine="640"/>
              <w:jc w:val="center"/>
              <w:rPr>
                <w:rFonts w:hint="eastAsia" w:ascii="仿宋_GB2312" w:hAnsi="仿宋_GB2312" w:eastAsia="仿宋_GB2312" w:cs="仿宋_GB2312"/>
                <w:b/>
                <w:bCs/>
                <w:i w:val="0"/>
                <w:iCs w:val="0"/>
                <w:smallCaps w:val="0"/>
                <w:color w:val="000000"/>
                <w:spacing w:val="0"/>
                <w:kern w:val="0"/>
                <w:sz w:val="24"/>
                <w:lang w:eastAsia="zh-CN"/>
              </w:rPr>
            </w:pPr>
            <w:r>
              <w:rPr>
                <w:rFonts w:hint="eastAsia" w:ascii="仿宋_GB2312" w:hAnsi="仿宋_GB2312" w:eastAsia="仿宋_GB2312" w:cs="仿宋_GB2312"/>
                <w:b/>
                <w:bCs/>
                <w:i w:val="0"/>
                <w:iCs w:val="0"/>
                <w:smallCaps w:val="0"/>
                <w:color w:val="000000"/>
                <w:spacing w:val="0"/>
                <w:kern w:val="0"/>
                <w:sz w:val="24"/>
                <w:lang w:eastAsia="zh-CN"/>
              </w:rPr>
              <w:t>厦门市思明区计划生育协会</w:t>
            </w:r>
          </w:p>
        </w:tc>
      </w:tr>
    </w:tbl>
    <w:p>
      <w:pPr>
        <w:pStyle w:val="5"/>
        <w:spacing w:before="100" w:after="100" w:line="600" w:lineRule="atLeast"/>
        <w:ind w:left="0" w:right="0" w:firstLine="640" w:firstLineChars="0"/>
        <w:rPr>
          <w:rFonts w:ascii="Times New Roman" w:hAnsi="Times New Roman" w:eastAsia="Times New Roman" w:cs="Times New Roman"/>
          <w:b/>
          <w:bCs/>
          <w:kern w:val="0"/>
          <w:sz w:val="28"/>
          <w:szCs w:val="28"/>
        </w:rPr>
      </w:pPr>
      <w:r>
        <w:rPr>
          <w:rFonts w:ascii="黑体" w:hAnsi="黑体" w:eastAsia="黑体" w:cs="黑体"/>
          <w:b/>
          <w:spacing w:val="0"/>
        </w:rPr>
        <w:t>三、单位主要工作总结</w:t>
      </w:r>
      <w:bookmarkEnd w:id="17"/>
      <w:bookmarkEnd w:id="18"/>
      <w:bookmarkEnd w:id="19"/>
      <w:bookmarkEnd w:id="20"/>
    </w:p>
    <w:p>
      <w:pPr>
        <w:pStyle w:val="23"/>
        <w:widowControl/>
        <w:spacing w:before="100" w:after="100" w:line="600" w:lineRule="atLeast"/>
        <w:ind w:left="0" w:right="0" w:firstLine="640"/>
        <w:jc w:val="both"/>
        <w:rPr>
          <w:rFonts w:ascii="仿宋_GB2312" w:hAnsi="仿宋_GB2312" w:eastAsia="仿宋_GB2312" w:cs="仿宋_GB2312"/>
          <w:spacing w:val="0"/>
          <w:kern w:val="0"/>
          <w:sz w:val="32"/>
          <w:szCs w:val="32"/>
        </w:rPr>
      </w:pPr>
      <w:r>
        <w:rPr>
          <w:rFonts w:hint="eastAsia" w:ascii="仿宋_GB2312" w:hAnsi="仿宋_GB2312" w:eastAsia="仿宋_GB2312" w:cs="仿宋_GB2312"/>
          <w:color w:val="000000"/>
          <w:sz w:val="32"/>
          <w:szCs w:val="32"/>
          <w:highlight w:val="none"/>
          <w:lang w:val="en-US" w:eastAsia="zh-CN"/>
        </w:rPr>
        <w:t>2024</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kern w:val="0"/>
          <w:sz w:val="32"/>
          <w:szCs w:val="32"/>
        </w:rPr>
        <w:t>厦门市思明区计划生育协会（本级）</w:t>
      </w:r>
      <w:r>
        <w:rPr>
          <w:rFonts w:hint="eastAsia" w:ascii="仿宋_GB2312" w:hAnsi="仿宋_GB2312" w:eastAsia="仿宋_GB2312" w:cs="仿宋_GB2312"/>
          <w:b w:val="0"/>
          <w:bCs w:val="0"/>
          <w:color w:val="000000"/>
          <w:kern w:val="0"/>
          <w:sz w:val="32"/>
          <w:szCs w:val="32"/>
          <w:lang w:val="en-US" w:eastAsia="zh-CN"/>
        </w:rPr>
        <w:t>始终将政治建设摆在首位，把加强党的领导贯穿计生协工作各方面和全过程。发挥计生协</w:t>
      </w:r>
      <w:r>
        <w:rPr>
          <w:rFonts w:hint="eastAsia" w:ascii="仿宋_GB2312" w:hAnsi="仿宋_GB2312" w:eastAsia="仿宋_GB2312" w:cs="仿宋_GB2312"/>
          <w:color w:val="auto"/>
          <w:sz w:val="32"/>
          <w:szCs w:val="32"/>
          <w:lang w:val="en-US" w:eastAsia="zh-CN"/>
        </w:rPr>
        <w:t>理事成员单位优势，</w:t>
      </w:r>
      <w:r>
        <w:rPr>
          <w:rFonts w:hint="eastAsia" w:ascii="仿宋_GB2312" w:hAnsi="仿宋_GB2312" w:eastAsia="仿宋_GB2312" w:cs="仿宋_GB2312"/>
          <w:b w:val="0"/>
          <w:bCs w:val="0"/>
          <w:spacing w:val="0"/>
          <w:sz w:val="32"/>
          <w:szCs w:val="32"/>
          <w:lang w:val="en-US" w:eastAsia="zh-CN"/>
        </w:rPr>
        <w:t>共享资源开展活动，认真落实计生协“六项重点任务”。</w:t>
      </w:r>
      <w:r>
        <w:rPr>
          <w:rFonts w:hint="eastAsia" w:ascii="仿宋_GB2312" w:hAnsi="仿宋_GB2312" w:eastAsia="仿宋_GB2312" w:cs="仿宋_GB2312"/>
          <w:b w:val="0"/>
          <w:bCs w:val="0"/>
          <w:color w:val="auto"/>
          <w:sz w:val="32"/>
          <w:szCs w:val="32"/>
          <w:lang w:eastAsia="zh-CN"/>
        </w:rPr>
        <w:t>广泛开展</w:t>
      </w:r>
      <w:r>
        <w:rPr>
          <w:rFonts w:hint="eastAsia" w:ascii="仿宋_GB2312" w:hAnsi="仿宋_GB2312" w:eastAsia="仿宋_GB2312" w:cs="仿宋_GB2312"/>
          <w:b w:val="0"/>
          <w:bCs w:val="0"/>
          <w:color w:val="auto"/>
          <w:sz w:val="32"/>
          <w:szCs w:val="32"/>
          <w:lang w:val="en-US" w:eastAsia="zh-CN"/>
        </w:rPr>
        <w:t>主题宣传活动</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积极营造生育友好的社会氛围</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000000"/>
          <w:kern w:val="0"/>
          <w:sz w:val="32"/>
          <w:szCs w:val="32"/>
          <w:lang w:val="en-US" w:eastAsia="zh-CN"/>
        </w:rPr>
        <w:t>立足计生协所能，倾情关怀会员群众和计生家庭。</w:t>
      </w:r>
      <w:r>
        <w:rPr>
          <w:rFonts w:hint="eastAsia" w:ascii="仿宋_GB2312" w:hAnsi="仿宋_GB2312" w:eastAsia="仿宋_GB2312" w:cs="仿宋_GB2312"/>
          <w:sz w:val="32"/>
          <w:szCs w:val="32"/>
          <w:lang w:val="en-US" w:eastAsia="zh-CN"/>
        </w:rPr>
        <w:t>贯彻落实省、市、区健康行动推进委员会关于《</w:t>
      </w:r>
      <w:r>
        <w:rPr>
          <w:rFonts w:hint="eastAsia" w:ascii="仿宋_GB2312" w:hAnsi="仿宋_GB2312" w:eastAsia="仿宋_GB2312" w:cs="仿宋_GB2312"/>
          <w:color w:val="auto"/>
          <w:sz w:val="32"/>
          <w:szCs w:val="32"/>
        </w:rPr>
        <w:t>推进家庭健康促进行动实施方案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color w:val="auto"/>
          <w:sz w:val="32"/>
          <w:szCs w:val="32"/>
          <w:u w:val="none"/>
          <w:lang w:val="en-US" w:eastAsia="zh-CN"/>
        </w:rPr>
        <w:t>立足适应新时期计生协新任务新要求，持续加强计生协组织建设、队伍建设、作风建设。</w:t>
      </w:r>
      <w:r>
        <w:rPr>
          <w:rFonts w:ascii="仿宋_GB2312" w:hAnsi="仿宋_GB2312" w:eastAsia="仿宋_GB2312" w:cs="仿宋_GB2312"/>
          <w:spacing w:val="0"/>
          <w:kern w:val="0"/>
          <w:sz w:val="32"/>
          <w:szCs w:val="32"/>
        </w:rPr>
        <w:t>重点完成了以下工作：</w:t>
      </w:r>
    </w:p>
    <w:p>
      <w:pPr>
        <w:widowControl w:val="0"/>
        <w:wordWrap/>
        <w:adjustRightInd/>
        <w:snapToGrid/>
        <w:spacing w:before="0" w:line="62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（一）坚持“严”的基调，凝心聚力推进组织建设</w:t>
      </w:r>
    </w:p>
    <w:p>
      <w:pPr>
        <w:widowControl w:val="0"/>
        <w:wordWrap/>
        <w:adjustRightInd/>
        <w:snapToGrid/>
        <w:spacing w:before="0" w:line="62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1.落实全面从严治党主体责任。</w:t>
      </w:r>
      <w:r>
        <w:rPr>
          <w:rFonts w:hint="eastAsia" w:ascii="仿宋_GB2312" w:hAnsi="仿宋_GB2312" w:eastAsia="仿宋_GB2312" w:cs="仿宋_GB2312"/>
          <w:b w:val="0"/>
          <w:bCs w:val="0"/>
          <w:color w:val="auto"/>
          <w:sz w:val="32"/>
          <w:szCs w:val="32"/>
          <w:u w:val="none"/>
          <w:lang w:eastAsia="zh-CN"/>
        </w:rPr>
        <w:t>开展“计生协党旗飘扬”“会员心向党”等主题宣传活动，</w:t>
      </w:r>
      <w:r>
        <w:rPr>
          <w:rFonts w:hint="eastAsia" w:ascii="仿宋_GB2312" w:hAnsi="仿宋_GB2312" w:eastAsia="仿宋_GB2312" w:cs="仿宋_GB2312"/>
          <w:b w:val="0"/>
          <w:bCs w:val="0"/>
          <w:color w:val="auto"/>
          <w:sz w:val="32"/>
          <w:szCs w:val="32"/>
          <w:lang w:val="en-US" w:eastAsia="zh-CN"/>
        </w:rPr>
        <w:t>引领会员群众坚定不移听党话、跟党走。5月底提前完成2023年区委派出审计组对区计生协2任常务副会长《审计报告》指出存在问题的整改落实。及时办理4件12345信访事项，收集处置</w:t>
      </w:r>
      <w:r>
        <w:rPr>
          <w:rFonts w:hint="eastAsia" w:ascii="仿宋_GB2312" w:hAnsi="仿宋_GB2312" w:eastAsia="仿宋_GB2312" w:cs="仿宋_GB2312"/>
          <w:b w:val="0"/>
          <w:bCs w:val="0"/>
          <w:color w:val="auto"/>
          <w:sz w:val="32"/>
          <w:szCs w:val="32"/>
          <w:u w:val="none"/>
          <w:lang w:val="en-US" w:eastAsia="zh-CN"/>
        </w:rPr>
        <w:t>39</w:t>
      </w:r>
      <w:r>
        <w:rPr>
          <w:rFonts w:hint="eastAsia" w:ascii="仿宋_GB2312" w:hAnsi="仿宋_GB2312" w:eastAsia="仿宋_GB2312" w:cs="仿宋_GB2312"/>
          <w:b w:val="0"/>
          <w:bCs w:val="0"/>
          <w:color w:val="auto"/>
          <w:sz w:val="32"/>
          <w:szCs w:val="32"/>
          <w:lang w:val="en-US" w:eastAsia="zh-CN"/>
        </w:rPr>
        <w:t>个社情民意。</w:t>
      </w:r>
    </w:p>
    <w:p>
      <w:pPr>
        <w:widowControl w:val="0"/>
        <w:wordWrap/>
        <w:adjustRightInd/>
        <w:spacing w:line="62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2.落实党纪学习教育。开展线上学习讨论4场次、线下学习辅导5场次、专题研讨7场次。拟定《</w:t>
      </w:r>
      <w:r>
        <w:rPr>
          <w:rFonts w:hint="eastAsia" w:ascii="仿宋_GB2312" w:hAnsi="仿宋_GB2312" w:eastAsia="仿宋_GB2312" w:cs="仿宋_GB2312"/>
          <w:b w:val="0"/>
          <w:bCs w:val="0"/>
          <w:color w:val="auto"/>
          <w:kern w:val="0"/>
          <w:sz w:val="32"/>
          <w:szCs w:val="32"/>
          <w:lang w:eastAsia="zh-CN"/>
        </w:rPr>
        <w:t>思明区计生协党支部</w:t>
      </w:r>
      <w:r>
        <w:rPr>
          <w:rFonts w:hint="eastAsia" w:ascii="仿宋_GB2312" w:hAnsi="仿宋_GB2312" w:eastAsia="仿宋_GB2312" w:cs="仿宋_GB2312"/>
          <w:b w:val="0"/>
          <w:bCs w:val="0"/>
          <w:color w:val="auto"/>
          <w:kern w:val="0"/>
          <w:sz w:val="32"/>
          <w:szCs w:val="32"/>
          <w:lang/>
        </w:rPr>
        <w:t>开展党纪学习教育</w:t>
      </w:r>
      <w:r>
        <w:rPr>
          <w:rFonts w:hint="eastAsia" w:ascii="仿宋_GB2312" w:hAnsi="仿宋_GB2312" w:eastAsia="仿宋_GB2312" w:cs="仿宋_GB2312"/>
          <w:b w:val="0"/>
          <w:bCs w:val="0"/>
          <w:color w:val="auto"/>
          <w:kern w:val="0"/>
          <w:sz w:val="32"/>
          <w:szCs w:val="32"/>
          <w:lang w:eastAsia="zh-CN"/>
        </w:rPr>
        <w:t>学习安排表</w:t>
      </w:r>
      <w:r>
        <w:rPr>
          <w:rFonts w:hint="eastAsia" w:ascii="仿宋_GB2312" w:hAnsi="仿宋_GB2312" w:eastAsia="仿宋_GB2312" w:cs="仿宋_GB2312"/>
          <w:b w:val="0"/>
          <w:bCs w:val="0"/>
          <w:color w:val="auto"/>
          <w:sz w:val="32"/>
          <w:szCs w:val="32"/>
          <w:lang w:val="en-US" w:eastAsia="zh-CN"/>
        </w:rPr>
        <w:t>》，细化每个月学习教育清单，对单销号抓落实。坚持“一月一主题”警示教育，落实集体廉政谈话1次、个人廉政谈话提醒6人次。</w:t>
      </w:r>
    </w:p>
    <w:p>
      <w:pPr>
        <w:widowControl w:val="0"/>
        <w:numPr>
          <w:numId w:val="0"/>
        </w:numPr>
        <w:wordWrap/>
        <w:adjustRightInd/>
        <w:snapToGrid/>
        <w:spacing w:line="620" w:lineRule="exact"/>
        <w:ind w:leftChars="0"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3.党建引领计生协全面建设。按季挂图作业，每季下发工作落实事项，指导街道计生协每季度做什么、怎么做，有序</w:t>
      </w:r>
      <w:r>
        <w:rPr>
          <w:rFonts w:hint="eastAsia" w:ascii="仿宋_GB2312" w:hAnsi="仿宋_GB2312" w:eastAsia="仿宋_GB2312" w:cs="仿宋_GB2312"/>
          <w:b w:val="0"/>
          <w:bCs w:val="0"/>
          <w:color w:val="auto"/>
          <w:sz w:val="32"/>
          <w:szCs w:val="32"/>
          <w:lang w:eastAsia="zh-CN"/>
        </w:rPr>
        <w:t>推动工作开展。每月指导基层计生协召开计生例会，对表对标，推进工作落细落实。</w:t>
      </w:r>
    </w:p>
    <w:p>
      <w:pPr>
        <w:widowControl w:val="0"/>
        <w:numPr>
          <w:numId w:val="0"/>
        </w:numPr>
        <w:wordWrap/>
        <w:adjustRightInd/>
        <w:snapToGrid/>
        <w:spacing w:line="62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（二）以“快”字当头，精心擘画年度工作蓝图</w:t>
      </w:r>
    </w:p>
    <w:p>
      <w:pPr>
        <w:widowControl w:val="0"/>
        <w:numPr>
          <w:numId w:val="0"/>
        </w:numPr>
        <w:wordWrap/>
        <w:adjustRightInd/>
        <w:snapToGrid/>
        <w:spacing w:line="62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1.早筹划，确立年度工作方向。深入一线开展工作调研，找准年度工作方向。确定</w:t>
      </w:r>
      <w:r>
        <w:rPr>
          <w:rFonts w:hint="eastAsia" w:ascii="仿宋_GB2312" w:hAnsi="仿宋_GB2312" w:eastAsia="仿宋_GB2312" w:cs="仿宋_GB2312"/>
          <w:b w:val="0"/>
          <w:bCs w:val="0"/>
          <w:sz w:val="32"/>
          <w:szCs w:val="32"/>
          <w:lang w:eastAsia="zh-CN"/>
        </w:rPr>
        <w:t>开展百场</w:t>
      </w:r>
      <w:r>
        <w:rPr>
          <w:rFonts w:hint="eastAsia" w:ascii="仿宋_GB2312" w:hAnsi="仿宋_GB2312" w:eastAsia="仿宋_GB2312" w:cs="仿宋_GB2312"/>
          <w:b w:val="0"/>
          <w:bCs w:val="0"/>
          <w:sz w:val="32"/>
          <w:szCs w:val="32"/>
          <w:lang w:val="en-US" w:eastAsia="zh-CN"/>
        </w:rPr>
        <w:t>宣传服务活动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助力构建友好生育支持体系，开展“健康家+”五好主题行动，高质量助力全区健康家庭建设。</w:t>
      </w:r>
    </w:p>
    <w:p>
      <w:pPr>
        <w:widowControl w:val="0"/>
        <w:numPr>
          <w:numId w:val="0"/>
        </w:numPr>
        <w:wordWrap/>
        <w:adjustRightInd/>
        <w:snapToGrid/>
        <w:spacing w:line="620" w:lineRule="exact"/>
        <w:ind w:leftChars="0" w:firstLine="640" w:firstLineChars="200"/>
        <w:jc w:val="both"/>
        <w:textAlignment w:val="auto"/>
        <w:rPr>
          <w:rFonts w:hint="eastAsia" w:ascii="仿宋_GB2312" w:hAnsi="仿宋_GB2312" w:eastAsia="仿宋_GB2312" w:cs="仿宋_GB2312"/>
          <w:b w:val="0"/>
          <w:bCs w:val="0"/>
          <w:color w:val="000000"/>
          <w:sz w:val="32"/>
          <w:szCs w:val="32"/>
          <w:u w:val="none" w:color="auto"/>
          <w:shd w:val="clear" w:color="auto" w:fill="FFFFFF"/>
          <w:lang w:val="en-US" w:eastAsia="zh-CN"/>
        </w:rPr>
      </w:pPr>
      <w:r>
        <w:rPr>
          <w:rFonts w:hint="eastAsia" w:ascii="仿宋_GB2312" w:hAnsi="仿宋_GB2312" w:eastAsia="仿宋_GB2312" w:cs="仿宋_GB2312"/>
          <w:b w:val="0"/>
          <w:bCs w:val="0"/>
          <w:sz w:val="32"/>
          <w:szCs w:val="32"/>
          <w:lang w:val="en-US" w:eastAsia="zh-CN"/>
        </w:rPr>
        <w:t>2.快部署，全面有序推进工作。坚持实干为要，</w:t>
      </w:r>
      <w:r>
        <w:rPr>
          <w:rFonts w:hint="eastAsia" w:ascii="仿宋_GB2312" w:hAnsi="仿宋_GB2312" w:eastAsia="仿宋_GB2312" w:cs="仿宋_GB2312"/>
          <w:b w:val="0"/>
          <w:bCs w:val="0"/>
          <w:color w:val="000000"/>
          <w:sz w:val="32"/>
          <w:szCs w:val="32"/>
          <w:u w:val="none" w:color="auto"/>
          <w:shd w:val="clear" w:color="auto" w:fill="FFFFFF"/>
          <w:lang w:val="en-US" w:eastAsia="zh-CN"/>
        </w:rPr>
        <w:t>2月</w:t>
      </w:r>
      <w:r>
        <w:rPr>
          <w:rFonts w:hint="eastAsia" w:ascii="仿宋_GB2312" w:hAnsi="仿宋_GB2312" w:eastAsia="仿宋_GB2312" w:cs="仿宋_GB2312"/>
          <w:b w:val="0"/>
          <w:bCs w:val="0"/>
          <w:color w:val="000000"/>
          <w:sz w:val="32"/>
          <w:szCs w:val="32"/>
          <w:u w:val="none" w:color="auto"/>
          <w:shd w:val="clear" w:color="auto" w:fill="FFFFFF"/>
          <w:lang w:eastAsia="zh-CN"/>
        </w:rPr>
        <w:t>召开贯彻全区作风建设暨“强腰”工程推进会精神专题会议，组织全体干部再动员、再部署、再发力。</w:t>
      </w:r>
      <w:r>
        <w:rPr>
          <w:rFonts w:hint="eastAsia" w:ascii="仿宋_GB2312" w:hAnsi="仿宋_GB2312" w:eastAsia="仿宋_GB2312" w:cs="仿宋_GB2312"/>
          <w:b w:val="0"/>
          <w:bCs w:val="0"/>
          <w:color w:val="000000"/>
          <w:sz w:val="32"/>
          <w:szCs w:val="32"/>
          <w:u w:val="none" w:color="auto"/>
          <w:shd w:val="clear" w:color="auto" w:fill="FFFFFF"/>
          <w:lang w:val="en-US" w:eastAsia="zh-CN"/>
        </w:rPr>
        <w:t>3月组织全区计生协工作者开展党建促业务</w:t>
      </w:r>
      <w:r>
        <w:rPr>
          <w:rFonts w:hint="eastAsia" w:ascii="仿宋_GB2312" w:hAnsi="仿宋_GB2312" w:eastAsia="仿宋_GB2312" w:cs="仿宋_GB2312"/>
          <w:b w:val="0"/>
          <w:bCs w:val="0"/>
          <w:sz w:val="32"/>
          <w:szCs w:val="32"/>
          <w:lang w:val="en-US" w:eastAsia="zh-CN"/>
        </w:rPr>
        <w:t>培训会，</w:t>
      </w:r>
      <w:r>
        <w:rPr>
          <w:rFonts w:hint="eastAsia" w:ascii="仿宋_GB2312" w:hAnsi="仿宋_GB2312" w:eastAsia="仿宋_GB2312" w:cs="仿宋_GB2312"/>
          <w:b w:val="0"/>
          <w:bCs w:val="0"/>
          <w:color w:val="000000"/>
          <w:sz w:val="32"/>
          <w:szCs w:val="32"/>
          <w:u w:val="none" w:color="auto"/>
          <w:shd w:val="clear" w:color="auto" w:fill="FFFFFF"/>
          <w:lang w:val="en-US" w:eastAsia="zh-CN"/>
        </w:rPr>
        <w:t>全面部署、展开年度工作。每季召开街道例会，指导街道、社区计生协挂图作业，理清工作思维导图，千方百计抓落实。召开8次项目联席会，有序推进生育关怀行动。</w:t>
      </w:r>
    </w:p>
    <w:p>
      <w:pPr>
        <w:widowControl w:val="0"/>
        <w:numPr>
          <w:numId w:val="0"/>
        </w:numPr>
        <w:wordWrap/>
        <w:adjustRightInd/>
        <w:snapToGrid/>
        <w:spacing w:line="620" w:lineRule="exact"/>
        <w:ind w:leftChars="0" w:firstLine="640" w:firstLineChars="200"/>
        <w:jc w:val="both"/>
        <w:textAlignment w:val="auto"/>
        <w:rPr>
          <w:rFonts w:hint="eastAsia" w:ascii="仿宋_GB2312" w:hAnsi="仿宋_GB2312" w:eastAsia="仿宋_GB2312" w:cs="仿宋_GB2312"/>
          <w:b w:val="0"/>
          <w:bCs w:val="0"/>
          <w:color w:val="auto"/>
          <w:sz w:val="32"/>
          <w:szCs w:val="32"/>
          <w:u w:val="none" w:color="auto"/>
          <w:shd w:val="clear" w:color="auto" w:fill="FFFFFF"/>
          <w:lang w:val="en-US" w:eastAsia="zh-CN"/>
        </w:rPr>
      </w:pPr>
      <w:r>
        <w:rPr>
          <w:rFonts w:hint="eastAsia" w:ascii="仿宋_GB2312" w:hAnsi="仿宋_GB2312" w:eastAsia="仿宋_GB2312" w:cs="仿宋_GB2312"/>
          <w:b w:val="0"/>
          <w:bCs w:val="0"/>
          <w:sz w:val="32"/>
          <w:szCs w:val="32"/>
          <w:lang w:val="en-US" w:eastAsia="zh-CN"/>
        </w:rPr>
        <w:t>3.强保障，确保项目落到实处。</w:t>
      </w:r>
      <w:r>
        <w:rPr>
          <w:rFonts w:hint="eastAsia" w:ascii="仿宋_GB2312" w:hAnsi="仿宋_GB2312" w:eastAsia="仿宋_GB2312" w:cs="仿宋_GB2312"/>
          <w:b w:val="0"/>
          <w:bCs w:val="0"/>
          <w:color w:val="000000"/>
          <w:sz w:val="32"/>
          <w:szCs w:val="32"/>
          <w:u w:val="none" w:color="auto"/>
          <w:shd w:val="clear" w:color="auto" w:fill="FFFFFF"/>
          <w:lang w:val="en-US" w:eastAsia="zh-CN"/>
        </w:rPr>
        <w:t>立足计生协实际开展“强基”行动，推行“三学三用”（学章程用章程、学技能用技能、学网用网）以学促干，推动“三社联动”发挥作用，推选“三美”（最美基层工作者、最美小组长、最美金色阳光志愿者）树立榜样典型。抓实项目资金保障，</w:t>
      </w:r>
      <w:r>
        <w:rPr>
          <w:rFonts w:hint="eastAsia" w:ascii="仿宋_GB2312" w:hAnsi="仿宋_GB2312" w:eastAsia="仿宋_GB2312" w:cs="仿宋_GB2312"/>
          <w:b w:val="0"/>
          <w:bCs w:val="0"/>
          <w:sz w:val="32"/>
          <w:szCs w:val="32"/>
        </w:rPr>
        <w:t>2024年区计生协</w:t>
      </w:r>
      <w:r>
        <w:rPr>
          <w:rFonts w:hint="eastAsia" w:ascii="仿宋_GB2312" w:hAnsi="仿宋_GB2312" w:eastAsia="仿宋_GB2312" w:cs="仿宋_GB2312"/>
          <w:b w:val="0"/>
          <w:bCs w:val="0"/>
          <w:sz w:val="32"/>
          <w:szCs w:val="32"/>
          <w:lang w:eastAsia="zh-CN"/>
        </w:rPr>
        <w:t>本级财政</w:t>
      </w:r>
      <w:r>
        <w:rPr>
          <w:rFonts w:hint="eastAsia" w:ascii="仿宋_GB2312" w:hAnsi="仿宋_GB2312" w:eastAsia="仿宋_GB2312" w:cs="仿宋_GB2312"/>
          <w:b w:val="0"/>
          <w:bCs w:val="0"/>
          <w:sz w:val="32"/>
          <w:szCs w:val="32"/>
        </w:rPr>
        <w:t>预算1,6</w:t>
      </w:r>
      <w:r>
        <w:rPr>
          <w:rFonts w:hint="eastAsia" w:ascii="仿宋_GB2312" w:hAnsi="仿宋_GB2312" w:eastAsia="仿宋_GB2312" w:cs="仿宋_GB2312"/>
          <w:b w:val="0"/>
          <w:bCs w:val="0"/>
          <w:sz w:val="32"/>
          <w:szCs w:val="32"/>
          <w:lang w:val="en-US" w:eastAsia="zh-CN"/>
        </w:rPr>
        <w:t>30</w:t>
      </w:r>
      <w:r>
        <w:rPr>
          <w:rFonts w:hint="eastAsia" w:ascii="仿宋_GB2312" w:hAnsi="仿宋_GB2312" w:eastAsia="仿宋_GB2312" w:cs="仿宋_GB2312"/>
          <w:b w:val="0"/>
          <w:bCs w:val="0"/>
          <w:sz w:val="32"/>
          <w:szCs w:val="32"/>
        </w:rPr>
        <w:t>.07万元，比2023年预算数</w:t>
      </w:r>
      <w:r>
        <w:rPr>
          <w:rFonts w:hint="eastAsia" w:ascii="仿宋_GB2312" w:hAnsi="仿宋_GB2312" w:eastAsia="仿宋_GB2312" w:cs="仿宋_GB2312"/>
          <w:b w:val="0"/>
          <w:bCs w:val="0"/>
          <w:sz w:val="32"/>
          <w:szCs w:val="32"/>
          <w:lang w:eastAsia="zh-CN"/>
        </w:rPr>
        <w:t>略有增长</w:t>
      </w:r>
      <w:r>
        <w:rPr>
          <w:rFonts w:hint="eastAsia" w:ascii="仿宋_GB2312" w:hAnsi="仿宋_GB2312" w:eastAsia="仿宋_GB2312" w:cs="仿宋_GB2312"/>
          <w:b w:val="0"/>
          <w:bCs w:val="0"/>
          <w:color w:val="auto"/>
          <w:sz w:val="32"/>
          <w:szCs w:val="32"/>
          <w:lang w:eastAsia="zh-CN"/>
        </w:rPr>
        <w:t>。</w:t>
      </w:r>
    </w:p>
    <w:p>
      <w:pPr>
        <w:widowControl w:val="0"/>
        <w:numPr>
          <w:numId w:val="0"/>
        </w:numPr>
        <w:wordWrap/>
        <w:adjustRightInd/>
        <w:snapToGrid/>
        <w:spacing w:line="620" w:lineRule="exact"/>
        <w:ind w:leftChars="0" w:firstLine="640" w:firstLineChars="200"/>
        <w:jc w:val="both"/>
        <w:textAlignment w:val="auto"/>
        <w:rPr>
          <w:rFonts w:hint="eastAsia" w:ascii="仿宋_GB2312" w:hAnsi="仿宋_GB2312" w:eastAsia="仿宋_GB2312" w:cs="仿宋_GB2312"/>
          <w:b w:val="0"/>
          <w:bCs w:val="0"/>
          <w:color w:val="FF0000"/>
          <w:sz w:val="32"/>
          <w:szCs w:val="32"/>
          <w:lang w:eastAsia="zh-CN"/>
        </w:rPr>
      </w:pPr>
      <w:r>
        <w:rPr>
          <w:rFonts w:hint="eastAsia" w:ascii="仿宋_GB2312" w:hAnsi="仿宋_GB2312" w:eastAsia="仿宋_GB2312" w:cs="仿宋_GB2312"/>
          <w:b w:val="0"/>
          <w:bCs w:val="0"/>
          <w:sz w:val="32"/>
          <w:szCs w:val="32"/>
          <w:lang w:eastAsia="zh-CN"/>
        </w:rPr>
        <w:t>（三）唱“响”主旋律，齐心营造友好生育支持氛围</w:t>
      </w:r>
    </w:p>
    <w:p>
      <w:pPr>
        <w:widowControl w:val="0"/>
        <w:numPr>
          <w:numId w:val="0"/>
        </w:numPr>
        <w:wordWrap/>
        <w:adjustRightInd/>
        <w:snapToGrid/>
        <w:spacing w:line="620" w:lineRule="exact"/>
        <w:ind w:leftChars="0" w:firstLine="640" w:firstLineChars="200"/>
        <w:jc w:val="both"/>
        <w:textAlignment w:val="auto"/>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lang w:val="en-US" w:eastAsia="zh-CN"/>
        </w:rPr>
        <w:t>1.开展主题宣传。全区共</w:t>
      </w:r>
      <w:r>
        <w:rPr>
          <w:rFonts w:hint="eastAsia" w:ascii="仿宋_GB2312" w:hAnsi="仿宋_GB2312" w:eastAsia="仿宋_GB2312" w:cs="仿宋_GB2312"/>
          <w:b w:val="0"/>
          <w:bCs w:val="0"/>
          <w:sz w:val="32"/>
          <w:szCs w:val="32"/>
          <w:lang w:eastAsia="zh-CN"/>
        </w:rPr>
        <w:t>开展</w:t>
      </w:r>
      <w:r>
        <w:rPr>
          <w:rFonts w:hint="eastAsia" w:ascii="仿宋_GB2312" w:hAnsi="仿宋_GB2312" w:eastAsia="仿宋_GB2312" w:cs="仿宋_GB2312"/>
          <w:b w:val="0"/>
          <w:bCs w:val="0"/>
          <w:sz w:val="32"/>
          <w:szCs w:val="32"/>
          <w:lang w:val="en-US" w:eastAsia="zh-CN"/>
        </w:rPr>
        <w:t>158场次</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倡导新型婚育文化</w:t>
      </w:r>
      <w:r>
        <w:rPr>
          <w:rFonts w:hint="eastAsia" w:ascii="仿宋_GB2312" w:hAnsi="仿宋_GB2312" w:eastAsia="仿宋_GB2312" w:cs="仿宋_GB2312"/>
          <w:b w:val="0"/>
          <w:bCs w:val="0"/>
          <w:sz w:val="32"/>
          <w:szCs w:val="32"/>
          <w:lang w:val="en-US" w:eastAsia="zh-CN"/>
        </w:rPr>
        <w:t xml:space="preserve"> 助力人口高质量发展——庆祝新中国成立75周年</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主题</w:t>
      </w:r>
      <w:r>
        <w:rPr>
          <w:rFonts w:hint="eastAsia" w:ascii="仿宋_GB2312" w:hAnsi="仿宋_GB2312" w:eastAsia="仿宋_GB2312" w:cs="仿宋_GB2312"/>
          <w:b w:val="0"/>
          <w:bCs w:val="0"/>
          <w:sz w:val="32"/>
          <w:szCs w:val="32"/>
        </w:rPr>
        <w:t>宣传</w:t>
      </w:r>
      <w:r>
        <w:rPr>
          <w:rFonts w:hint="eastAsia" w:ascii="仿宋_GB2312" w:hAnsi="仿宋_GB2312" w:eastAsia="仿宋_GB2312" w:cs="仿宋_GB2312"/>
          <w:b w:val="0"/>
          <w:bCs w:val="0"/>
          <w:sz w:val="32"/>
          <w:szCs w:val="32"/>
          <w:lang w:eastAsia="zh-CN"/>
        </w:rPr>
        <w:t>教育</w:t>
      </w:r>
      <w:r>
        <w:rPr>
          <w:rFonts w:hint="eastAsia" w:ascii="仿宋_GB2312" w:hAnsi="仿宋_GB2312" w:eastAsia="仿宋_GB2312" w:cs="仿宋_GB2312"/>
          <w:b w:val="0"/>
          <w:bCs w:val="0"/>
          <w:sz w:val="32"/>
          <w:szCs w:val="32"/>
        </w:rPr>
        <w:t>活动</w:t>
      </w:r>
      <w:r>
        <w:rPr>
          <w:rFonts w:hint="eastAsia" w:ascii="仿宋_GB2312" w:hAnsi="仿宋_GB2312" w:eastAsia="仿宋_GB2312" w:cs="仿宋_GB2312"/>
          <w:b w:val="0"/>
          <w:bCs w:val="0"/>
          <w:sz w:val="32"/>
          <w:szCs w:val="32"/>
          <w:lang w:val="en-US" w:eastAsia="zh-CN"/>
        </w:rPr>
        <w:t>,14000余名会员群众参加。</w:t>
      </w:r>
    </w:p>
    <w:p>
      <w:pPr>
        <w:widowControl w:val="0"/>
        <w:numPr>
          <w:numId w:val="0"/>
        </w:numPr>
        <w:wordWrap/>
        <w:adjustRightInd/>
        <w:snapToGrid/>
        <w:spacing w:line="620" w:lineRule="exact"/>
        <w:ind w:leftChars="0" w:firstLine="640" w:firstLineChars="200"/>
        <w:jc w:val="both"/>
        <w:textAlignment w:val="auto"/>
        <w:rPr>
          <w:rFonts w:hint="eastAsia" w:ascii="仿宋_GB2312" w:hAnsi="仿宋_GB2312" w:eastAsia="仿宋_GB2312" w:cs="仿宋_GB2312"/>
          <w:b w:val="0"/>
          <w:bCs w:val="0"/>
          <w:i w:val="0"/>
          <w:iCs w:val="0"/>
          <w:color w:val="auto"/>
          <w:sz w:val="32"/>
          <w:szCs w:val="32"/>
          <w:lang w:val="en-US"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highlight w:val="none"/>
          <w:lang w:val="en-US" w:eastAsia="zh-CN"/>
        </w:rPr>
        <w:t>做好节日宣传。</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u w:val="none" w:color="auto"/>
          <w:lang w:val="en-US" w:eastAsia="zh-CN"/>
        </w:rPr>
        <w:t>母亲节</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u w:val="none" w:color="auto"/>
          <w:lang w:val="en-US" w:eastAsia="zh-CN"/>
        </w:rPr>
        <w:t>期间，走进前埔社区、金祥社区和湖光社区开展</w:t>
      </w:r>
      <w:r>
        <w:rPr>
          <w:rFonts w:hint="eastAsia" w:ascii="仿宋_GB2312" w:hAnsi="仿宋_GB2312" w:eastAsia="仿宋_GB2312" w:cs="仿宋_GB2312"/>
          <w:b w:val="0"/>
          <w:bCs w:val="0"/>
          <w:color w:val="auto"/>
          <w:sz w:val="32"/>
          <w:szCs w:val="32"/>
          <w:highlight w:val="none"/>
          <w:lang w:val="en-US" w:eastAsia="zh-CN"/>
        </w:rPr>
        <w:t>庆祝</w:t>
      </w:r>
      <w:r>
        <w:rPr>
          <w:rFonts w:hint="eastAsia" w:ascii="仿宋_GB2312" w:hAnsi="仿宋_GB2312" w:eastAsia="仿宋_GB2312" w:cs="仿宋_GB2312"/>
          <w:b w:val="0"/>
          <w:bCs w:val="0"/>
          <w:color w:val="auto"/>
          <w:sz w:val="32"/>
          <w:szCs w:val="32"/>
          <w:highlight w:val="none"/>
          <w:u w:val="none" w:color="auto"/>
          <w:lang w:val="en-US" w:eastAsia="zh-CN"/>
        </w:rPr>
        <w:t>活动</w:t>
      </w:r>
      <w:r>
        <w:rPr>
          <w:rFonts w:hint="eastAsia" w:ascii="仿宋_GB2312" w:hAnsi="仿宋_GB2312" w:eastAsia="仿宋_GB2312" w:cs="仿宋_GB2312"/>
          <w:b w:val="0"/>
          <w:bCs w:val="0"/>
          <w:color w:val="auto"/>
          <w:sz w:val="32"/>
          <w:szCs w:val="32"/>
          <w:highlight w:val="none"/>
          <w:lang w:val="en-US" w:eastAsia="zh-CN"/>
        </w:rPr>
        <w:t>，宣传优生优育政策。世界无烟日和</w:t>
      </w:r>
      <w:r>
        <w:rPr>
          <w:rFonts w:hint="eastAsia" w:ascii="仿宋_GB2312" w:hAnsi="仿宋_GB2312" w:eastAsia="仿宋_GB2312" w:cs="仿宋_GB2312"/>
          <w:b w:val="0"/>
          <w:bCs w:val="0"/>
          <w:sz w:val="32"/>
          <w:szCs w:val="32"/>
          <w:highlight w:val="none"/>
          <w:u w:val="none" w:color="auto"/>
          <w:lang w:val="en-US" w:eastAsia="zh-CN"/>
        </w:rPr>
        <w:t>禁毒宣传月，与中华街道社区卫生服务中心联合开展“控烟拒毒 从你我做起”宣传活动。“5.29”会员活动月，</w:t>
      </w:r>
      <w:r>
        <w:rPr>
          <w:rFonts w:hint="eastAsia" w:ascii="仿宋_GB2312" w:hAnsi="仿宋_GB2312" w:eastAsia="仿宋_GB2312" w:cs="仿宋_GB2312"/>
          <w:b w:val="0"/>
          <w:bCs w:val="0"/>
          <w:sz w:val="32"/>
          <w:szCs w:val="32"/>
          <w:lang w:eastAsia="zh-CN"/>
        </w:rPr>
        <w:t>区计生</w:t>
      </w:r>
      <w:r>
        <w:rPr>
          <w:rFonts w:hint="eastAsia" w:ascii="仿宋_GB2312" w:hAnsi="仿宋_GB2312" w:eastAsia="仿宋_GB2312" w:cs="仿宋_GB2312"/>
          <w:b w:val="0"/>
          <w:bCs w:val="0"/>
          <w:sz w:val="32"/>
          <w:szCs w:val="32"/>
          <w:lang w:val="en-US" w:eastAsia="zh-CN"/>
        </w:rPr>
        <w:t>协联合梧村街道举办庆祝活动，</w:t>
      </w:r>
      <w:r>
        <w:rPr>
          <w:rFonts w:hint="eastAsia" w:ascii="仿宋_GB2312" w:hAnsi="仿宋_GB2312" w:eastAsia="仿宋_GB2312" w:cs="仿宋_GB2312"/>
          <w:b w:val="0"/>
          <w:bCs w:val="0"/>
          <w:sz w:val="32"/>
          <w:szCs w:val="32"/>
          <w:lang w:eastAsia="zh-CN"/>
        </w:rPr>
        <w:t>表扬</w:t>
      </w:r>
      <w:r>
        <w:rPr>
          <w:rFonts w:hint="eastAsia" w:ascii="仿宋_GB2312" w:hAnsi="仿宋_GB2312" w:eastAsia="仿宋_GB2312" w:cs="仿宋_GB2312"/>
          <w:b w:val="0"/>
          <w:bCs w:val="0"/>
          <w:sz w:val="32"/>
          <w:szCs w:val="32"/>
          <w:lang w:val="en-US" w:eastAsia="zh-CN"/>
        </w:rPr>
        <w:t>150名工作表现突出的</w:t>
      </w:r>
      <w:r>
        <w:rPr>
          <w:rFonts w:hint="eastAsia" w:ascii="仿宋_GB2312" w:hAnsi="仿宋_GB2312" w:eastAsia="仿宋_GB2312" w:cs="仿宋_GB2312"/>
          <w:b w:val="0"/>
          <w:bCs w:val="0"/>
          <w:sz w:val="32"/>
          <w:szCs w:val="32"/>
          <w:lang w:eastAsia="zh-CN"/>
        </w:rPr>
        <w:t>街道、</w:t>
      </w:r>
      <w:r>
        <w:rPr>
          <w:rFonts w:hint="eastAsia" w:ascii="仿宋_GB2312" w:hAnsi="仿宋_GB2312" w:eastAsia="仿宋_GB2312" w:cs="仿宋_GB2312"/>
          <w:b w:val="0"/>
          <w:bCs w:val="0"/>
          <w:sz w:val="32"/>
          <w:szCs w:val="32"/>
          <w:lang w:val="en-US" w:eastAsia="zh-CN"/>
        </w:rPr>
        <w:t>社区工作者。</w:t>
      </w:r>
    </w:p>
    <w:p>
      <w:pPr>
        <w:widowControl w:val="0"/>
        <w:numPr>
          <w:numId w:val="0"/>
        </w:numPr>
        <w:pBdr>
          <w:bottom w:val="single" w:color="FFFFFF" w:sz="4" w:space="31"/>
        </w:pBdr>
        <w:tabs>
          <w:tab w:val="left" w:pos="1440"/>
        </w:tabs>
        <w:wordWrap/>
        <w:autoSpaceDN w:val="0"/>
        <w:adjustRightInd/>
        <w:snapToGrid/>
        <w:spacing w:before="0" w:line="62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sz w:val="32"/>
          <w:szCs w:val="32"/>
          <w:lang w:val="en-US" w:eastAsia="zh-CN"/>
        </w:rPr>
        <w:t>3.注重信息宣传。</w:t>
      </w:r>
      <w:r>
        <w:rPr>
          <w:rFonts w:hint="eastAsia" w:ascii="仿宋_GB2312" w:hAnsi="仿宋_GB2312" w:eastAsia="仿宋_GB2312" w:cs="仿宋_GB2312"/>
          <w:b w:val="0"/>
          <w:bCs w:val="0"/>
          <w:spacing w:val="0"/>
          <w:sz w:val="32"/>
          <w:szCs w:val="32"/>
          <w:lang w:val="en-US" w:eastAsia="zh-CN"/>
        </w:rPr>
        <w:t>积极向市级以上主流媒体报送“暖心”“幸福”“思明宝宝”“健康”系列活动信息，宣传基层</w:t>
      </w:r>
      <w:r>
        <w:rPr>
          <w:rFonts w:hint="eastAsia" w:ascii="仿宋_GB2312" w:hAnsi="仿宋_GB2312" w:eastAsia="仿宋_GB2312" w:cs="仿宋_GB2312"/>
          <w:b w:val="0"/>
          <w:bCs w:val="0"/>
          <w:color w:val="000000"/>
          <w:kern w:val="0"/>
          <w:sz w:val="32"/>
          <w:szCs w:val="32"/>
          <w:lang w:eastAsia="zh-CN"/>
        </w:rPr>
        <w:t>计生协工作典型和先进事迹</w:t>
      </w:r>
      <w:r>
        <w:rPr>
          <w:rFonts w:hint="eastAsia" w:ascii="仿宋_GB2312" w:hAnsi="仿宋_GB2312" w:eastAsia="仿宋_GB2312" w:cs="仿宋_GB2312"/>
          <w:b w:val="0"/>
          <w:bCs w:val="0"/>
          <w:color w:val="000000"/>
          <w:kern w:val="0"/>
          <w:sz w:val="32"/>
          <w:szCs w:val="32"/>
          <w:lang w:val="en-US" w:eastAsia="zh-CN"/>
        </w:rPr>
        <w:t>，全区</w:t>
      </w:r>
      <w:r>
        <w:rPr>
          <w:rFonts w:hint="eastAsia" w:ascii="仿宋_GB2312" w:hAnsi="仿宋_GB2312" w:eastAsia="仿宋_GB2312" w:cs="仿宋_GB2312"/>
          <w:b w:val="0"/>
          <w:bCs w:val="0"/>
          <w:color w:val="auto"/>
          <w:kern w:val="0"/>
          <w:sz w:val="32"/>
          <w:szCs w:val="32"/>
          <w:lang w:val="en-US" w:eastAsia="zh-CN"/>
        </w:rPr>
        <w:t>在市级以上各类新闻媒体、公众号刊登信息</w:t>
      </w:r>
      <w:r>
        <w:rPr>
          <w:rFonts w:hint="eastAsia" w:ascii="仿宋_GB2312" w:hAnsi="仿宋_GB2312" w:eastAsia="仿宋_GB2312" w:cs="仿宋_GB2312"/>
          <w:b w:val="0"/>
          <w:bCs w:val="0"/>
          <w:color w:val="000000"/>
          <w:kern w:val="0"/>
          <w:sz w:val="32"/>
          <w:szCs w:val="32"/>
          <w:lang w:val="en-US" w:eastAsia="zh-CN"/>
        </w:rPr>
        <w:t>110</w:t>
      </w:r>
      <w:r>
        <w:rPr>
          <w:rFonts w:hint="eastAsia" w:ascii="仿宋_GB2312" w:hAnsi="仿宋_GB2312" w:eastAsia="仿宋_GB2312" w:cs="仿宋_GB2312"/>
          <w:b w:val="0"/>
          <w:bCs w:val="0"/>
          <w:color w:val="auto"/>
          <w:kern w:val="0"/>
          <w:sz w:val="32"/>
          <w:szCs w:val="32"/>
          <w:lang w:val="en-US" w:eastAsia="zh-CN"/>
        </w:rPr>
        <w:t>篇。</w:t>
      </w:r>
    </w:p>
    <w:p>
      <w:pPr>
        <w:widowControl w:val="0"/>
        <w:numPr>
          <w:numId w:val="0"/>
        </w:numPr>
        <w:pBdr>
          <w:bottom w:val="single" w:color="FFFFFF" w:sz="4" w:space="31"/>
        </w:pBdr>
        <w:tabs>
          <w:tab w:val="left" w:pos="1440"/>
        </w:tabs>
        <w:wordWrap/>
        <w:autoSpaceDN w:val="0"/>
        <w:adjustRightInd/>
        <w:snapToGrid/>
        <w:spacing w:before="0" w:line="62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助力普惠托育宣传。投入专项经费5万元，印发12000份宣传折页，通过线上直播平台以及11个“向日葵亲子小屋”阵地，开展常态化托育宣传。联合卫健部门制作6000份宣传品，开展第二届托育服务文化节、亲子运动会等线下大型宣传活动。</w:t>
      </w:r>
    </w:p>
    <w:p>
      <w:pPr>
        <w:widowControl w:val="0"/>
        <w:numPr>
          <w:numId w:val="0"/>
        </w:numPr>
        <w:pBdr>
          <w:bottom w:val="single" w:color="FFFFFF" w:sz="4" w:space="31"/>
        </w:pBdr>
        <w:tabs>
          <w:tab w:val="left" w:pos="1440"/>
        </w:tabs>
        <w:wordWrap/>
        <w:autoSpaceDN w:val="0"/>
        <w:adjustRightInd/>
        <w:snapToGrid/>
        <w:spacing w:before="0" w:line="62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color w:val="auto"/>
          <w:sz w:val="32"/>
          <w:szCs w:val="32"/>
          <w:lang w:val="en-US" w:eastAsia="zh-CN"/>
        </w:rPr>
        <w:t>开展优生优育指导。</w:t>
      </w:r>
      <w:r>
        <w:rPr>
          <w:rFonts w:hint="eastAsia" w:ascii="仿宋_GB2312" w:hAnsi="仿宋_GB2312" w:eastAsia="仿宋_GB2312" w:cs="仿宋_GB2312"/>
          <w:b w:val="0"/>
          <w:bCs w:val="0"/>
          <w:sz w:val="32"/>
          <w:szCs w:val="32"/>
          <w:lang w:val="en-US" w:eastAsia="zh-CN"/>
        </w:rPr>
        <w:t>新建2个</w:t>
      </w:r>
      <w:r>
        <w:rPr>
          <w:rFonts w:hint="eastAsia" w:ascii="仿宋_GB2312" w:hAnsi="仿宋_GB2312" w:eastAsia="仿宋_GB2312" w:cs="仿宋_GB2312"/>
          <w:b w:val="0"/>
          <w:bCs w:val="0"/>
          <w:sz w:val="32"/>
          <w:szCs w:val="32"/>
          <w:lang w:val="en-US" w:eastAsia="zh-CN"/>
        </w:rPr>
        <w:t>“向日葵亲子小屋”，实现全区每个街道至少有1个</w:t>
      </w:r>
      <w:r>
        <w:rPr>
          <w:rFonts w:hint="eastAsia" w:ascii="仿宋_GB2312" w:hAnsi="仿宋_GB2312" w:eastAsia="仿宋_GB2312" w:cs="仿宋_GB2312"/>
          <w:b w:val="0"/>
          <w:bCs w:val="0"/>
          <w:sz w:val="32"/>
          <w:szCs w:val="32"/>
          <w:lang w:val="en-US" w:eastAsia="zh-CN"/>
        </w:rPr>
        <w:t>“向日葵亲子小屋”</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开展</w:t>
      </w:r>
      <w:r>
        <w:rPr>
          <w:rFonts w:hint="eastAsia" w:ascii="仿宋_GB2312" w:hAnsi="仿宋_GB2312" w:eastAsia="仿宋_GB2312" w:cs="仿宋_GB2312"/>
          <w:b w:val="0"/>
          <w:bCs w:val="0"/>
          <w:color w:val="auto"/>
          <w:sz w:val="32"/>
          <w:szCs w:val="32"/>
          <w:lang w:val="en-US" w:eastAsia="zh-CN"/>
        </w:rPr>
        <w:t>161场次科学育儿公益讲座、亲子活动进社区。组织425名会员群众参加“全省儿童保健家庭指导员”网上培训，292人通过考试取得证书</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color w:val="auto"/>
          <w:sz w:val="32"/>
          <w:szCs w:val="32"/>
          <w:lang w:val="en-US" w:eastAsia="zh-CN"/>
        </w:rPr>
        <w:t>选送14例“孕妈萌宝小鸟餐”参加中国计生协案例评选。</w:t>
      </w:r>
    </w:p>
    <w:p>
      <w:pPr>
        <w:widowControl w:val="0"/>
        <w:numPr>
          <w:numId w:val="0"/>
        </w:numPr>
        <w:pBdr>
          <w:bottom w:val="single" w:color="FFFFFF" w:sz="4" w:space="31"/>
        </w:pBdr>
        <w:tabs>
          <w:tab w:val="left" w:pos="1440"/>
        </w:tabs>
        <w:wordWrap/>
        <w:autoSpaceDN w:val="0"/>
        <w:adjustRightInd/>
        <w:snapToGrid/>
        <w:spacing w:before="0" w:line="62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（四）抓“点”促面，全心推进健康家庭建设</w:t>
      </w:r>
    </w:p>
    <w:p>
      <w:pPr>
        <w:widowControl w:val="0"/>
        <w:numPr>
          <w:numId w:val="0"/>
        </w:numPr>
        <w:pBdr>
          <w:bottom w:val="single" w:color="FFFFFF" w:sz="4" w:space="31"/>
        </w:pBdr>
        <w:tabs>
          <w:tab w:val="left" w:pos="1440"/>
        </w:tabs>
        <w:wordWrap/>
        <w:autoSpaceDN w:val="0"/>
        <w:adjustRightInd/>
        <w:snapToGrid/>
        <w:spacing w:before="0" w:line="62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1.发挥国家级项目点引领作用。</w:t>
      </w:r>
      <w:bookmarkStart w:id="125" w:name="_GoBack"/>
      <w:bookmarkEnd w:id="125"/>
      <w:r>
        <w:rPr>
          <w:rFonts w:hint="eastAsia" w:ascii="仿宋_GB2312" w:hAnsi="仿宋_GB2312" w:eastAsia="仿宋_GB2312" w:cs="仿宋_GB2312"/>
          <w:b w:val="0"/>
          <w:bCs w:val="0"/>
          <w:sz w:val="32"/>
          <w:szCs w:val="32"/>
          <w:lang w:val="en-US" w:eastAsia="zh-CN"/>
        </w:rPr>
        <w:t>推进中国计生协“家庭健康服务中心”霞溪社区项目点建设，</w:t>
      </w:r>
      <w:r>
        <w:rPr>
          <w:rFonts w:hint="eastAsia" w:ascii="仿宋_GB2312" w:hAnsi="仿宋_GB2312" w:eastAsia="仿宋_GB2312" w:cs="仿宋_GB2312"/>
          <w:b w:val="0"/>
          <w:bCs w:val="0"/>
          <w:sz w:val="32"/>
          <w:szCs w:val="32"/>
          <w:lang w:eastAsia="zh-CN"/>
        </w:rPr>
        <w:t>项目点共建单位超</w:t>
      </w:r>
      <w:r>
        <w:rPr>
          <w:rFonts w:hint="eastAsia" w:ascii="仿宋_GB2312" w:hAnsi="仿宋_GB2312" w:eastAsia="仿宋_GB2312" w:cs="仿宋_GB2312"/>
          <w:b w:val="0"/>
          <w:bCs w:val="0"/>
          <w:sz w:val="32"/>
          <w:szCs w:val="32"/>
          <w:lang w:val="en-US" w:eastAsia="zh-CN"/>
        </w:rPr>
        <w:t>14</w:t>
      </w:r>
      <w:r>
        <w:rPr>
          <w:rFonts w:hint="eastAsia" w:ascii="仿宋_GB2312" w:hAnsi="仿宋_GB2312" w:eastAsia="仿宋_GB2312" w:cs="仿宋_GB2312"/>
          <w:b w:val="0"/>
          <w:bCs w:val="0"/>
          <w:sz w:val="32"/>
          <w:szCs w:val="32"/>
          <w:lang w:eastAsia="zh-CN"/>
        </w:rPr>
        <w:t>家，对接</w:t>
      </w:r>
      <w:r>
        <w:rPr>
          <w:rFonts w:hint="eastAsia" w:ascii="仿宋_GB2312" w:hAnsi="仿宋_GB2312" w:eastAsia="仿宋_GB2312" w:cs="仿宋_GB2312"/>
          <w:b w:val="0"/>
          <w:bCs w:val="0"/>
          <w:sz w:val="32"/>
          <w:szCs w:val="32"/>
          <w:lang w:val="en-US" w:eastAsia="zh-CN"/>
        </w:rPr>
        <w:t>7所</w:t>
      </w:r>
      <w:r>
        <w:rPr>
          <w:rFonts w:hint="eastAsia" w:ascii="仿宋_GB2312" w:hAnsi="仿宋_GB2312" w:eastAsia="仿宋_GB2312" w:cs="仿宋_GB2312"/>
          <w:b w:val="0"/>
          <w:bCs w:val="0"/>
          <w:sz w:val="32"/>
          <w:szCs w:val="32"/>
          <w:lang w:eastAsia="zh-CN"/>
        </w:rPr>
        <w:t>学校开展青春健康进校园活动，建立青少年志愿者服务队伍15人，开展</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场主题宣传、</w:t>
      </w:r>
      <w:r>
        <w:rPr>
          <w:rFonts w:hint="eastAsia" w:ascii="仿宋_GB2312" w:hAnsi="仿宋_GB2312" w:eastAsia="仿宋_GB2312" w:cs="仿宋_GB2312"/>
          <w:b w:val="0"/>
          <w:bCs w:val="0"/>
          <w:sz w:val="32"/>
          <w:szCs w:val="32"/>
          <w:lang w:val="en-US" w:eastAsia="zh-CN"/>
        </w:rPr>
        <w:t>17</w:t>
      </w:r>
      <w:r>
        <w:rPr>
          <w:rFonts w:hint="eastAsia" w:ascii="仿宋_GB2312" w:hAnsi="仿宋_GB2312" w:eastAsia="仿宋_GB2312" w:cs="仿宋_GB2312"/>
          <w:b w:val="0"/>
          <w:bCs w:val="0"/>
          <w:sz w:val="32"/>
          <w:szCs w:val="32"/>
          <w:lang w:eastAsia="zh-CN"/>
        </w:rPr>
        <w:t>场“五小”服务</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场专项帮扶活动，制作</w:t>
      </w:r>
      <w:r>
        <w:rPr>
          <w:rFonts w:hint="eastAsia" w:ascii="仿宋_GB2312" w:hAnsi="仿宋_GB2312" w:eastAsia="仿宋_GB2312" w:cs="仿宋_GB2312"/>
          <w:b w:val="0"/>
          <w:bCs w:val="0"/>
          <w:sz w:val="32"/>
          <w:szCs w:val="32"/>
          <w:lang w:val="en-US" w:eastAsia="zh-CN"/>
        </w:rPr>
        <w:t>14</w:t>
      </w:r>
      <w:r>
        <w:rPr>
          <w:rFonts w:hint="eastAsia" w:ascii="仿宋_GB2312" w:hAnsi="仿宋_GB2312" w:eastAsia="仿宋_GB2312" w:cs="仿宋_GB2312"/>
          <w:b w:val="0"/>
          <w:bCs w:val="0"/>
          <w:sz w:val="32"/>
          <w:szCs w:val="32"/>
          <w:lang w:eastAsia="zh-CN"/>
        </w:rPr>
        <w:t>个宣传视频投放各居民活动群。</w:t>
      </w:r>
    </w:p>
    <w:p>
      <w:pPr>
        <w:widowControl w:val="0"/>
        <w:numPr>
          <w:numId w:val="0"/>
        </w:numPr>
        <w:pBdr>
          <w:bottom w:val="single" w:color="FFFFFF" w:sz="4" w:space="31"/>
        </w:pBdr>
        <w:tabs>
          <w:tab w:val="left" w:pos="1440"/>
        </w:tabs>
        <w:wordWrap/>
        <w:autoSpaceDN w:val="0"/>
        <w:adjustRightInd/>
        <w:snapToGrid/>
        <w:spacing w:before="0" w:line="62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2.加强健康家庭服务阵地建设。走进街道社区党群活动中心、文体活动场所、健康小屋等居民群众服务阵地开展调研，在嘉莲街道新时代文明实践所新建1个“家庭健康服务中心”和1个“暖心家园”，在霞溪社区</w:t>
      </w:r>
      <w:r>
        <w:rPr>
          <w:rFonts w:hint="eastAsia" w:ascii="仿宋_GB2312" w:hAnsi="仿宋_GB2312" w:eastAsia="仿宋_GB2312" w:cs="仿宋_GB2312"/>
          <w:b w:val="0"/>
          <w:bCs w:val="0"/>
          <w:color w:val="auto"/>
          <w:sz w:val="32"/>
          <w:szCs w:val="32"/>
          <w:lang w:eastAsia="zh-CN"/>
        </w:rPr>
        <w:t>新建</w:t>
      </w:r>
      <w:r>
        <w:rPr>
          <w:rFonts w:hint="eastAsia" w:ascii="仿宋_GB2312" w:hAnsi="仿宋_GB2312" w:eastAsia="仿宋_GB2312" w:cs="仿宋_GB2312"/>
          <w:b w:val="0"/>
          <w:bCs w:val="0"/>
          <w:color w:val="auto"/>
          <w:sz w:val="32"/>
          <w:szCs w:val="32"/>
          <w:lang w:val="en-US" w:eastAsia="zh-CN"/>
        </w:rPr>
        <w:t>1个</w:t>
      </w:r>
      <w:r>
        <w:rPr>
          <w:rFonts w:hint="eastAsia" w:ascii="仿宋_GB2312" w:hAnsi="仿宋_GB2312" w:eastAsia="仿宋_GB2312" w:cs="仿宋_GB2312"/>
          <w:b w:val="0"/>
          <w:bCs w:val="0"/>
          <w:color w:val="auto"/>
          <w:sz w:val="32"/>
          <w:szCs w:val="32"/>
          <w:lang w:eastAsia="zh-CN"/>
        </w:rPr>
        <w:t>“青春健康俱乐部”，</w:t>
      </w:r>
      <w:r>
        <w:rPr>
          <w:rFonts w:hint="eastAsia" w:ascii="仿宋_GB2312" w:hAnsi="仿宋_GB2312" w:eastAsia="仿宋_GB2312" w:cs="仿宋_GB2312"/>
          <w:b w:val="0"/>
          <w:bCs w:val="0"/>
          <w:sz w:val="32"/>
          <w:szCs w:val="32"/>
          <w:lang w:val="en-US" w:eastAsia="zh-CN"/>
        </w:rPr>
        <w:t>切实把家庭健康服务阵地建好、用好。</w:t>
      </w:r>
    </w:p>
    <w:p>
      <w:pPr>
        <w:widowControl w:val="0"/>
        <w:numPr>
          <w:numId w:val="0"/>
        </w:numPr>
        <w:pBdr>
          <w:bottom w:val="single" w:color="FFFFFF" w:sz="4" w:space="31"/>
        </w:pBdr>
        <w:tabs>
          <w:tab w:val="left" w:pos="1440"/>
        </w:tabs>
        <w:wordWrap/>
        <w:autoSpaceDN w:val="0"/>
        <w:adjustRightInd/>
        <w:snapToGrid/>
        <w:spacing w:before="0" w:line="62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3.开展“健康家+”五好主题行动。全区</w:t>
      </w:r>
      <w:r>
        <w:rPr>
          <w:rFonts w:hint="eastAsia" w:ascii="仿宋_GB2312" w:hAnsi="仿宋_GB2312" w:eastAsia="仿宋_GB2312" w:cs="仿宋_GB2312"/>
          <w:b w:val="0"/>
          <w:bCs w:val="0"/>
          <w:color w:val="222222"/>
          <w:kern w:val="0"/>
          <w:sz w:val="32"/>
          <w:szCs w:val="32"/>
          <w:u w:val="none"/>
          <w:lang w:eastAsia="zh-CN"/>
        </w:rPr>
        <w:t>举办健康主题宣传</w:t>
      </w:r>
      <w:r>
        <w:rPr>
          <w:rFonts w:hint="eastAsia" w:ascii="仿宋_GB2312" w:hAnsi="仿宋_GB2312" w:eastAsia="仿宋_GB2312" w:cs="仿宋_GB2312"/>
          <w:b w:val="0"/>
          <w:bCs w:val="0"/>
          <w:color w:val="222222"/>
          <w:kern w:val="0"/>
          <w:sz w:val="32"/>
          <w:szCs w:val="32"/>
          <w:u w:val="none"/>
          <w:lang w:val="en-US" w:eastAsia="zh-CN"/>
        </w:rPr>
        <w:t>450余场次，受益群众3万多人。</w:t>
      </w:r>
      <w:r>
        <w:rPr>
          <w:rFonts w:hint="eastAsia" w:ascii="仿宋_GB2312" w:hAnsi="仿宋_GB2312" w:eastAsia="仿宋_GB2312" w:cs="仿宋_GB2312"/>
          <w:b w:val="0"/>
          <w:bCs w:val="0"/>
          <w:color w:val="auto"/>
          <w:sz w:val="32"/>
          <w:szCs w:val="32"/>
          <w:lang w:val="en-US" w:eastAsia="zh-CN"/>
        </w:rPr>
        <w:t>一是配合卫健部门探索“健康家+好机制”，邀请医疗专业人员、医疗专家志愿者在社区开展群众喜闻乐见的健康讲座、咨询服务。二是营造“健康家+好环境”，印发10000份《健康家庭建设指南（试行）》宣传折页，倡导广大家庭和会员群众参与美丽庭院、幸福健康家庭创建活动。三是指导基层计生协开展百场“健康家+好家风”宣传活动。向社会传递健康家庭的温暖与正能量。</w:t>
      </w:r>
      <w:r>
        <w:rPr>
          <w:rFonts w:hint="eastAsia" w:ascii="仿宋_GB2312" w:hAnsi="仿宋_GB2312" w:eastAsia="仿宋_GB2312" w:cs="仿宋_GB2312"/>
          <w:b w:val="0"/>
          <w:bCs w:val="0"/>
          <w:sz w:val="32"/>
          <w:szCs w:val="32"/>
          <w:lang w:eastAsia="zh-CN"/>
        </w:rPr>
        <w:t>青春健康“成长之道”培训</w:t>
      </w:r>
      <w:r>
        <w:rPr>
          <w:rFonts w:hint="eastAsia" w:ascii="仿宋_GB2312" w:hAnsi="仿宋_GB2312" w:eastAsia="仿宋_GB2312" w:cs="仿宋_GB2312"/>
          <w:b w:val="0"/>
          <w:bCs w:val="0"/>
          <w:sz w:val="32"/>
          <w:szCs w:val="32"/>
        </w:rPr>
        <w:t>成功走进7个街道</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社区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8所中</w:t>
      </w:r>
      <w:r>
        <w:rPr>
          <w:rFonts w:hint="eastAsia" w:ascii="仿宋_GB2312" w:hAnsi="仿宋_GB2312" w:eastAsia="仿宋_GB2312" w:cs="仿宋_GB2312"/>
          <w:b w:val="0"/>
          <w:bCs w:val="0"/>
          <w:sz w:val="32"/>
          <w:szCs w:val="32"/>
          <w:lang w:eastAsia="zh-CN"/>
        </w:rPr>
        <w:t>小</w:t>
      </w:r>
      <w:r>
        <w:rPr>
          <w:rFonts w:hint="eastAsia" w:ascii="仿宋_GB2312" w:hAnsi="仿宋_GB2312" w:eastAsia="仿宋_GB2312" w:cs="仿宋_GB2312"/>
          <w:b w:val="0"/>
          <w:bCs w:val="0"/>
          <w:sz w:val="32"/>
          <w:szCs w:val="32"/>
        </w:rPr>
        <w:t>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val="en-US" w:eastAsia="zh-CN"/>
        </w:rPr>
        <w:t>230余名</w:t>
      </w:r>
      <w:r>
        <w:rPr>
          <w:rFonts w:hint="eastAsia" w:ascii="仿宋_GB2312" w:hAnsi="仿宋_GB2312" w:eastAsia="仿宋_GB2312" w:cs="仿宋_GB2312"/>
          <w:b w:val="0"/>
          <w:bCs w:val="0"/>
          <w:sz w:val="32"/>
          <w:szCs w:val="32"/>
        </w:rPr>
        <w:t>学生</w:t>
      </w:r>
      <w:r>
        <w:rPr>
          <w:rFonts w:hint="eastAsia" w:ascii="仿宋_GB2312" w:hAnsi="仿宋_GB2312" w:eastAsia="仿宋_GB2312" w:cs="仿宋_GB2312"/>
          <w:b w:val="0"/>
          <w:bCs w:val="0"/>
          <w:sz w:val="32"/>
          <w:szCs w:val="32"/>
          <w:lang w:eastAsia="zh-CN"/>
        </w:rPr>
        <w:t>受益。</w:t>
      </w:r>
      <w:r>
        <w:rPr>
          <w:rFonts w:hint="eastAsia" w:ascii="仿宋_GB2312" w:hAnsi="仿宋_GB2312" w:eastAsia="仿宋_GB2312" w:cs="仿宋_GB2312"/>
          <w:b w:val="0"/>
          <w:bCs w:val="0"/>
          <w:color w:val="auto"/>
          <w:sz w:val="32"/>
          <w:szCs w:val="32"/>
          <w:lang w:val="en-US" w:eastAsia="zh-CN"/>
        </w:rPr>
        <w:t>四是开展“健康家+好素养”主题活动，举办</w:t>
      </w: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color w:val="auto"/>
          <w:sz w:val="32"/>
          <w:szCs w:val="32"/>
          <w:lang w:val="en-US" w:eastAsia="zh-CN"/>
        </w:rPr>
        <w:t>场“家康”系列中医养生、89场“暖心大学堂”健康知识讲座进社区。联合市卫生健康工作促进会举办“红帆领航·健康同行”家庭健康促进行动，邀请10名医疗专家为350余名群众开展义诊和健康咨询。五是培育“健康家+好典型”。协同区卫健局举办健康家庭技能竞赛及优秀典型案例评选活动，评出101个家喻户晓厝边“健康家庭示范户”，选送5例报送省计生协，已获奖3例，并推荐5例报送中国计生协参加“健康家庭”评选。</w:t>
      </w:r>
    </w:p>
    <w:p>
      <w:pPr>
        <w:widowControl w:val="0"/>
        <w:numPr>
          <w:numId w:val="0"/>
        </w:numPr>
        <w:pBdr>
          <w:bottom w:val="single" w:color="FFFFFF" w:sz="4" w:space="31"/>
        </w:pBdr>
        <w:tabs>
          <w:tab w:val="left" w:pos="1440"/>
        </w:tabs>
        <w:wordWrap/>
        <w:autoSpaceDN w:val="0"/>
        <w:adjustRightInd/>
        <w:snapToGrid/>
        <w:spacing w:before="0" w:line="620" w:lineRule="exact"/>
        <w:ind w:left="0" w:leftChars="0" w:right="0" w:firstLine="640" w:firstLineChars="200"/>
        <w:jc w:val="both"/>
        <w:textAlignment w:val="auto"/>
        <w:outlineLvl w:val="9"/>
        <w:rPr>
          <w:rFonts w:hint="eastAsia" w:ascii="仿宋_GB2312" w:hAnsi="仿宋_GB2312" w:eastAsia="仿宋_GB2312" w:cs="仿宋_GB2312"/>
          <w:b w:val="0"/>
          <w:bCs w:val="0"/>
          <w:color w:val="FF0000"/>
          <w:sz w:val="32"/>
          <w:szCs w:val="32"/>
          <w:lang w:val="en-US" w:eastAsia="zh-CN"/>
        </w:rPr>
      </w:pPr>
      <w:r>
        <w:rPr>
          <w:rFonts w:hint="eastAsia" w:ascii="仿宋_GB2312" w:hAnsi="仿宋_GB2312" w:eastAsia="仿宋_GB2312" w:cs="仿宋_GB2312"/>
          <w:b w:val="0"/>
          <w:bCs w:val="0"/>
          <w:sz w:val="32"/>
          <w:szCs w:val="32"/>
          <w:lang w:val="en-US" w:eastAsia="zh-CN"/>
        </w:rPr>
        <w:t>（五）笃“实”服务，真心开展计生家庭帮扶</w:t>
      </w:r>
    </w:p>
    <w:p>
      <w:pPr>
        <w:widowControl w:val="0"/>
        <w:numPr>
          <w:numId w:val="0"/>
        </w:numPr>
        <w:pBdr>
          <w:bottom w:val="single" w:color="FFFFFF" w:sz="4" w:space="31"/>
        </w:pBdr>
        <w:tabs>
          <w:tab w:val="left" w:pos="1440"/>
        </w:tabs>
        <w:wordWrap/>
        <w:autoSpaceDN w:val="0"/>
        <w:adjustRightInd/>
        <w:snapToGrid/>
        <w:spacing w:before="0" w:line="62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kern w:val="2"/>
          <w:sz w:val="32"/>
          <w:szCs w:val="32"/>
          <w:lang w:val="en-US" w:eastAsia="zh-CN" w:bidi="ar-SA"/>
        </w:rPr>
        <w:t>1.探索“123456”工作法，深入开展“暖心行动”。</w:t>
      </w:r>
      <w:r>
        <w:rPr>
          <w:rFonts w:hint="eastAsia" w:ascii="仿宋_GB2312" w:hAnsi="仿宋_GB2312" w:eastAsia="仿宋_GB2312" w:cs="仿宋_GB2312"/>
          <w:b w:val="0"/>
          <w:bCs w:val="0"/>
          <w:sz w:val="32"/>
          <w:szCs w:val="32"/>
          <w:lang w:val="en-US" w:eastAsia="zh-CN"/>
        </w:rPr>
        <w:t>一是加强服务主阵地建设，全区逐步构建以6个“暖心家园”为基本框架、近10个“暖心驿站”为补充的服务阵地网。二是健全暖心家园联席会机制，坚持每2个月召开一次“暖心家园”联席会，共同回顾前期工作，共谋近期工作安排，共思帮扶工作得失，共享各方服务资源。三是提升三支队伍能力素质，先后举办项目工作、志愿者培训3场次，表扬8名优秀暖心志愿者</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四是落实帮扶“四项制度”，为</w:t>
      </w:r>
      <w:r>
        <w:rPr>
          <w:rFonts w:hint="eastAsia" w:ascii="仿宋_GB2312" w:hAnsi="仿宋_GB2312" w:eastAsia="仿宋_GB2312" w:cs="仿宋_GB2312"/>
          <w:b w:val="0"/>
          <w:bCs w:val="0"/>
          <w:sz w:val="32"/>
          <w:szCs w:val="32"/>
          <w:lang w:val="en-US" w:eastAsia="zh-CN"/>
        </w:rPr>
        <w:t>672</w:t>
      </w:r>
      <w:r>
        <w:rPr>
          <w:rFonts w:hint="eastAsia" w:ascii="仿宋_GB2312" w:hAnsi="仿宋_GB2312" w:eastAsia="仿宋_GB2312" w:cs="仿宋_GB2312"/>
          <w:b w:val="0"/>
          <w:bCs w:val="0"/>
          <w:sz w:val="32"/>
          <w:szCs w:val="32"/>
          <w:lang w:eastAsia="zh-CN"/>
        </w:rPr>
        <w:t>户（人）失独家庭建立“</w:t>
      </w:r>
      <w:r>
        <w:rPr>
          <w:rFonts w:hint="eastAsia" w:ascii="仿宋_GB2312" w:hAnsi="仿宋_GB2312" w:eastAsia="仿宋_GB2312" w:cs="仿宋_GB2312"/>
          <w:b w:val="0"/>
          <w:bCs w:val="0"/>
          <w:sz w:val="32"/>
          <w:szCs w:val="32"/>
          <w:lang w:val="en-US" w:eastAsia="zh-CN"/>
        </w:rPr>
        <w:t>3+1</w:t>
      </w:r>
      <w:r>
        <w:rPr>
          <w:rFonts w:hint="eastAsia" w:ascii="仿宋_GB2312" w:hAnsi="仿宋_GB2312" w:eastAsia="仿宋_GB2312" w:cs="仿宋_GB2312"/>
          <w:b w:val="0"/>
          <w:bCs w:val="0"/>
          <w:sz w:val="32"/>
          <w:szCs w:val="32"/>
          <w:lang w:eastAsia="zh-CN"/>
        </w:rPr>
        <w:t>”联系名册。</w:t>
      </w:r>
      <w:r>
        <w:rPr>
          <w:rFonts w:hint="eastAsia" w:ascii="仿宋_GB2312" w:hAnsi="仿宋_GB2312" w:eastAsia="仿宋_GB2312" w:cs="仿宋_GB2312"/>
          <w:b w:val="0"/>
          <w:bCs w:val="0"/>
          <w:sz w:val="32"/>
          <w:szCs w:val="32"/>
          <w:lang w:val="en-US" w:eastAsia="zh-CN"/>
        </w:rPr>
        <w:t>“两节”期间</w:t>
      </w:r>
      <w:r>
        <w:rPr>
          <w:rFonts w:hint="eastAsia" w:ascii="仿宋_GB2312" w:hAnsi="仿宋_GB2312" w:eastAsia="仿宋_GB2312" w:cs="仿宋_GB2312"/>
          <w:b w:val="0"/>
          <w:bCs w:val="0"/>
          <w:sz w:val="32"/>
          <w:szCs w:val="32"/>
          <w:lang w:eastAsia="zh-CN"/>
        </w:rPr>
        <w:t>投入</w:t>
      </w:r>
      <w:r>
        <w:rPr>
          <w:rFonts w:hint="eastAsia" w:ascii="仿宋_GB2312" w:hAnsi="仿宋_GB2312" w:eastAsia="仿宋_GB2312" w:cs="仿宋_GB2312"/>
          <w:b w:val="0"/>
          <w:bCs w:val="0"/>
          <w:color w:val="auto"/>
          <w:sz w:val="32"/>
          <w:szCs w:val="32"/>
          <w:lang w:val="en-US" w:eastAsia="zh-CN"/>
        </w:rPr>
        <w:t>73.62</w:t>
      </w:r>
      <w:r>
        <w:rPr>
          <w:rFonts w:hint="eastAsia" w:ascii="仿宋_GB2312" w:hAnsi="仿宋_GB2312" w:eastAsia="仿宋_GB2312" w:cs="仿宋_GB2312"/>
          <w:b w:val="0"/>
          <w:bCs w:val="0"/>
          <w:sz w:val="32"/>
          <w:szCs w:val="32"/>
          <w:lang w:val="en-US" w:eastAsia="zh-CN"/>
        </w:rPr>
        <w:t>万元、</w:t>
      </w:r>
      <w:r>
        <w:rPr>
          <w:rFonts w:hint="eastAsia" w:ascii="仿宋_GB2312" w:hAnsi="仿宋_GB2312" w:eastAsia="仿宋_GB2312" w:cs="仿宋_GB2312"/>
          <w:b w:val="0"/>
          <w:bCs w:val="0"/>
          <w:sz w:val="32"/>
          <w:szCs w:val="32"/>
        </w:rPr>
        <w:t>为</w:t>
      </w:r>
      <w:r>
        <w:rPr>
          <w:rFonts w:hint="eastAsia" w:ascii="仿宋_GB2312" w:hAnsi="仿宋_GB2312" w:eastAsia="仿宋_GB2312" w:cs="仿宋_GB2312"/>
          <w:b w:val="0"/>
          <w:bCs w:val="0"/>
          <w:sz w:val="32"/>
          <w:szCs w:val="32"/>
          <w:lang w:val="en-US" w:eastAsia="zh-CN"/>
        </w:rPr>
        <w:t>615户</w:t>
      </w:r>
      <w:r>
        <w:rPr>
          <w:rFonts w:hint="eastAsia" w:ascii="仿宋_GB2312" w:hAnsi="仿宋_GB2312" w:eastAsia="仿宋_GB2312" w:cs="仿宋_GB2312"/>
          <w:b w:val="0"/>
          <w:bCs w:val="0"/>
          <w:sz w:val="32"/>
          <w:szCs w:val="32"/>
          <w:lang w:eastAsia="zh-CN"/>
        </w:rPr>
        <w:t>失独</w:t>
      </w:r>
      <w:r>
        <w:rPr>
          <w:rFonts w:hint="eastAsia" w:ascii="仿宋_GB2312" w:hAnsi="仿宋_GB2312" w:eastAsia="仿宋_GB2312" w:cs="仿宋_GB2312"/>
          <w:b w:val="0"/>
          <w:bCs w:val="0"/>
          <w:sz w:val="32"/>
          <w:szCs w:val="32"/>
        </w:rPr>
        <w:t>家庭送上1200元慰问金</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动员全区99支、1160名计生协阳光志愿者和56名暖心志愿者参与暖心行动。五是深入开展“5+N”主题活动，</w:t>
      </w:r>
      <w:r>
        <w:rPr>
          <w:rFonts w:hint="eastAsia" w:ascii="仿宋_GB2312" w:hAnsi="仿宋_GB2312" w:eastAsia="仿宋_GB2312" w:cs="仿宋_GB2312"/>
          <w:b w:val="0"/>
          <w:bCs w:val="0"/>
          <w:color w:val="auto"/>
          <w:sz w:val="32"/>
          <w:szCs w:val="32"/>
          <w:lang w:val="en-US" w:eastAsia="zh-CN"/>
        </w:rPr>
        <w:t>入户走访重点对象556次，关怀失独人员1278人次；开展集体庆生、知识讲座、交流联谊、文体和特色活动等，服务近3500人次。</w:t>
      </w:r>
      <w:r>
        <w:rPr>
          <w:rFonts w:hint="eastAsia" w:ascii="仿宋_GB2312" w:hAnsi="仿宋_GB2312" w:eastAsia="仿宋_GB2312" w:cs="仿宋_GB2312"/>
          <w:b w:val="0"/>
          <w:bCs w:val="0"/>
          <w:sz w:val="32"/>
          <w:szCs w:val="32"/>
          <w:lang w:val="en-US" w:eastAsia="zh-CN"/>
        </w:rPr>
        <w:t>六是打造“我家”系列思明品牌，将6个暖心家园冠名为“快乐我家、温馨我家、爱聚梧家、睦邻我家、厝边我家、嘉苑我家”。</w:t>
      </w:r>
    </w:p>
    <w:p>
      <w:pPr>
        <w:widowControl w:val="0"/>
        <w:numPr>
          <w:numId w:val="0"/>
        </w:numPr>
        <w:pBdr>
          <w:bottom w:val="single" w:color="FFFFFF" w:sz="4" w:space="31"/>
        </w:pBdr>
        <w:tabs>
          <w:tab w:val="left" w:pos="1440"/>
        </w:tabs>
        <w:wordWrap/>
        <w:autoSpaceDN w:val="0"/>
        <w:adjustRightInd/>
        <w:snapToGrid/>
        <w:spacing w:before="0" w:line="62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u w:val="none"/>
          <w:shd w:val="clear" w:color="auto" w:fill="FFFFFF"/>
        </w:rPr>
      </w:pPr>
      <w:r>
        <w:rPr>
          <w:rFonts w:hint="eastAsia" w:ascii="仿宋_GB2312" w:hAnsi="仿宋_GB2312" w:eastAsia="仿宋_GB2312" w:cs="仿宋_GB2312"/>
          <w:b w:val="0"/>
          <w:bCs w:val="0"/>
          <w:sz w:val="32"/>
          <w:szCs w:val="32"/>
          <w:lang w:val="en-US" w:eastAsia="zh-CN"/>
        </w:rPr>
        <w:t>2.聚焦“三应三尽”服务目标，提升计生保险服务水平。确立“应保尽保、应知尽知、应赔尽赔”计生保险项目工作目标，加大对项目全过程管理和服务。一是多批次开展业务培训，规范参保预登记、核对审查、社区公示、三方确认、遗漏补登记等流程。</w:t>
      </w:r>
      <w:r>
        <w:rPr>
          <w:rFonts w:hint="eastAsia" w:ascii="仿宋_GB2312" w:hAnsi="仿宋_GB2312" w:eastAsia="仿宋_GB2312" w:cs="仿宋_GB2312"/>
          <w:b w:val="0"/>
          <w:bCs w:val="0"/>
          <w:sz w:val="32"/>
          <w:szCs w:val="32"/>
          <w:shd w:val="clear" w:color="auto" w:fill="FFFFFF"/>
        </w:rPr>
        <w:t>202</w:t>
      </w:r>
      <w:r>
        <w:rPr>
          <w:rFonts w:hint="eastAsia" w:ascii="仿宋_GB2312" w:hAnsi="仿宋_GB2312" w:eastAsia="仿宋_GB2312" w:cs="仿宋_GB2312"/>
          <w:b w:val="0"/>
          <w:bCs w:val="0"/>
          <w:sz w:val="32"/>
          <w:szCs w:val="32"/>
          <w:shd w:val="clear" w:color="auto" w:fill="FFFFFF"/>
          <w:lang w:val="en-US" w:eastAsia="zh-CN"/>
        </w:rPr>
        <w:t>3</w:t>
      </w:r>
      <w:r>
        <w:rPr>
          <w:rFonts w:hint="eastAsia" w:ascii="仿宋_GB2312" w:hAnsi="仿宋_GB2312" w:eastAsia="仿宋_GB2312" w:cs="仿宋_GB2312"/>
          <w:b w:val="0"/>
          <w:bCs w:val="0"/>
          <w:sz w:val="32"/>
          <w:szCs w:val="32"/>
          <w:shd w:val="clear" w:color="auto" w:fill="FFFFFF"/>
        </w:rPr>
        <w:t>年</w:t>
      </w:r>
      <w:r>
        <w:rPr>
          <w:rFonts w:hint="eastAsia" w:ascii="仿宋_GB2312" w:hAnsi="仿宋_GB2312" w:eastAsia="仿宋_GB2312" w:cs="仿宋_GB2312"/>
          <w:b w:val="0"/>
          <w:bCs w:val="0"/>
          <w:sz w:val="32"/>
          <w:szCs w:val="32"/>
          <w:shd w:val="clear" w:color="auto" w:fill="FFFFFF"/>
          <w:lang w:val="en-US" w:eastAsia="zh-CN"/>
        </w:rPr>
        <w:t>-2024年</w:t>
      </w:r>
      <w:r>
        <w:rPr>
          <w:rFonts w:hint="eastAsia" w:ascii="仿宋_GB2312" w:hAnsi="仿宋_GB2312" w:eastAsia="仿宋_GB2312" w:cs="仿宋_GB2312"/>
          <w:b w:val="0"/>
          <w:bCs w:val="0"/>
          <w:sz w:val="32"/>
          <w:szCs w:val="32"/>
          <w:shd w:val="clear" w:color="auto" w:fill="FFFFFF"/>
        </w:rPr>
        <w:t>度</w:t>
      </w:r>
      <w:r>
        <w:rPr>
          <w:rFonts w:hint="eastAsia" w:ascii="仿宋_GB2312" w:hAnsi="仿宋_GB2312" w:eastAsia="仿宋_GB2312" w:cs="仿宋_GB2312"/>
          <w:b w:val="0"/>
          <w:bCs w:val="0"/>
          <w:sz w:val="32"/>
          <w:szCs w:val="32"/>
          <w:shd w:val="clear" w:color="auto" w:fill="FFFFFF"/>
          <w:lang w:eastAsia="zh-CN"/>
        </w:rPr>
        <w:t>项目</w:t>
      </w:r>
      <w:r>
        <w:rPr>
          <w:rFonts w:hint="eastAsia" w:ascii="仿宋_GB2312" w:hAnsi="仿宋_GB2312" w:eastAsia="仿宋_GB2312" w:cs="仿宋_GB2312"/>
          <w:b w:val="0"/>
          <w:bCs w:val="0"/>
          <w:sz w:val="32"/>
          <w:szCs w:val="32"/>
          <w:shd w:val="clear" w:color="auto" w:fill="FFFFFF"/>
        </w:rPr>
        <w:t>投入保费</w:t>
      </w:r>
      <w:r>
        <w:rPr>
          <w:rFonts w:hint="eastAsia" w:ascii="仿宋_GB2312" w:hAnsi="仿宋_GB2312" w:eastAsia="仿宋_GB2312" w:cs="仿宋_GB2312"/>
          <w:b w:val="0"/>
          <w:bCs w:val="0"/>
          <w:color w:val="auto"/>
          <w:sz w:val="32"/>
          <w:szCs w:val="32"/>
          <w:shd w:val="clear" w:color="auto" w:fill="FFFFFF"/>
          <w:lang w:val="en-US" w:eastAsia="zh-CN"/>
        </w:rPr>
        <w:t>1175.34</w:t>
      </w:r>
      <w:r>
        <w:rPr>
          <w:rFonts w:hint="eastAsia" w:ascii="仿宋_GB2312" w:hAnsi="仿宋_GB2312" w:eastAsia="仿宋_GB2312" w:cs="仿宋_GB2312"/>
          <w:b w:val="0"/>
          <w:bCs w:val="0"/>
          <w:color w:val="auto"/>
          <w:sz w:val="32"/>
          <w:szCs w:val="32"/>
          <w:shd w:val="clear" w:color="auto" w:fill="FFFFFF"/>
        </w:rPr>
        <w:t>万元，其中计生</w:t>
      </w:r>
      <w:r>
        <w:rPr>
          <w:rFonts w:hint="eastAsia" w:ascii="仿宋_GB2312" w:hAnsi="仿宋_GB2312" w:eastAsia="仿宋_GB2312" w:cs="仿宋_GB2312"/>
          <w:b w:val="0"/>
          <w:bCs w:val="0"/>
          <w:color w:val="auto"/>
          <w:sz w:val="32"/>
          <w:szCs w:val="32"/>
          <w:shd w:val="clear" w:color="auto" w:fill="FFFFFF"/>
          <w:lang w:eastAsia="zh-CN"/>
        </w:rPr>
        <w:t>家庭</w:t>
      </w:r>
      <w:r>
        <w:rPr>
          <w:rFonts w:hint="eastAsia" w:ascii="仿宋_GB2312" w:hAnsi="仿宋_GB2312" w:eastAsia="仿宋_GB2312" w:cs="仿宋_GB2312"/>
          <w:b w:val="0"/>
          <w:bCs w:val="0"/>
          <w:color w:val="auto"/>
          <w:sz w:val="32"/>
          <w:szCs w:val="32"/>
          <w:shd w:val="clear" w:color="auto" w:fill="FFFFFF"/>
        </w:rPr>
        <w:t>意外险参保户数</w:t>
      </w:r>
      <w:r>
        <w:rPr>
          <w:rFonts w:hint="eastAsia" w:ascii="仿宋_GB2312" w:hAnsi="仿宋_GB2312" w:eastAsia="仿宋_GB2312" w:cs="仿宋_GB2312"/>
          <w:b w:val="0"/>
          <w:bCs w:val="0"/>
          <w:color w:val="auto"/>
          <w:sz w:val="32"/>
          <w:szCs w:val="32"/>
          <w:shd w:val="clear" w:color="auto" w:fill="FFFFFF"/>
          <w:lang w:val="en-US" w:eastAsia="zh-CN"/>
        </w:rPr>
        <w:t>113998</w:t>
      </w:r>
      <w:r>
        <w:rPr>
          <w:rFonts w:hint="eastAsia" w:ascii="仿宋_GB2312" w:hAnsi="仿宋_GB2312" w:eastAsia="仿宋_GB2312" w:cs="仿宋_GB2312"/>
          <w:b w:val="0"/>
          <w:bCs w:val="0"/>
          <w:color w:val="auto"/>
          <w:sz w:val="32"/>
          <w:szCs w:val="32"/>
          <w:shd w:val="clear" w:color="auto" w:fill="FFFFFF"/>
        </w:rPr>
        <w:t>户</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shd w:val="clear" w:color="auto" w:fill="FFFFFF"/>
        </w:rPr>
        <w:t>保费</w:t>
      </w:r>
      <w:r>
        <w:rPr>
          <w:rFonts w:hint="eastAsia" w:ascii="仿宋_GB2312" w:hAnsi="仿宋_GB2312" w:eastAsia="仿宋_GB2312" w:cs="仿宋_GB2312"/>
          <w:b w:val="0"/>
          <w:bCs w:val="0"/>
          <w:color w:val="auto"/>
          <w:sz w:val="32"/>
          <w:szCs w:val="32"/>
          <w:shd w:val="clear" w:color="auto" w:fill="FFFFFF"/>
          <w:lang w:val="en-US" w:eastAsia="zh-CN"/>
        </w:rPr>
        <w:t>1139.98</w:t>
      </w:r>
      <w:r>
        <w:rPr>
          <w:rFonts w:hint="eastAsia" w:ascii="仿宋_GB2312" w:hAnsi="仿宋_GB2312" w:eastAsia="仿宋_GB2312" w:cs="仿宋_GB2312"/>
          <w:b w:val="0"/>
          <w:bCs w:val="0"/>
          <w:color w:val="auto"/>
          <w:sz w:val="32"/>
          <w:szCs w:val="32"/>
          <w:shd w:val="clear" w:color="auto" w:fill="FFFFFF"/>
        </w:rPr>
        <w:t>万元</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shd w:val="clear" w:color="auto" w:fill="FFFFFF"/>
        </w:rPr>
        <w:t>失独家庭住院护理补贴保险参保人数</w:t>
      </w:r>
      <w:r>
        <w:rPr>
          <w:rFonts w:hint="eastAsia" w:ascii="仿宋_GB2312" w:hAnsi="仿宋_GB2312" w:eastAsia="仿宋_GB2312" w:cs="仿宋_GB2312"/>
          <w:b w:val="0"/>
          <w:bCs w:val="0"/>
          <w:color w:val="auto"/>
          <w:sz w:val="32"/>
          <w:szCs w:val="32"/>
          <w:shd w:val="clear" w:color="auto" w:fill="FFFFFF"/>
          <w:lang w:val="en-US" w:eastAsia="zh-CN"/>
        </w:rPr>
        <w:t>884</w:t>
      </w:r>
      <w:r>
        <w:rPr>
          <w:rFonts w:hint="eastAsia" w:ascii="仿宋_GB2312" w:hAnsi="仿宋_GB2312" w:eastAsia="仿宋_GB2312" w:cs="仿宋_GB2312"/>
          <w:b w:val="0"/>
          <w:bCs w:val="0"/>
          <w:color w:val="auto"/>
          <w:sz w:val="32"/>
          <w:szCs w:val="32"/>
          <w:shd w:val="clear" w:color="auto" w:fill="FFFFFF"/>
        </w:rPr>
        <w:t>人</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shd w:val="clear" w:color="auto" w:fill="FFFFFF"/>
        </w:rPr>
        <w:t>保费</w:t>
      </w:r>
      <w:r>
        <w:rPr>
          <w:rFonts w:hint="eastAsia" w:ascii="仿宋_GB2312" w:hAnsi="仿宋_GB2312" w:eastAsia="仿宋_GB2312" w:cs="仿宋_GB2312"/>
          <w:b w:val="0"/>
          <w:bCs w:val="0"/>
          <w:color w:val="auto"/>
          <w:sz w:val="32"/>
          <w:szCs w:val="32"/>
          <w:shd w:val="clear" w:color="auto" w:fill="FFFFFF"/>
          <w:lang w:val="en-US" w:eastAsia="zh-CN"/>
        </w:rPr>
        <w:t>35.36</w:t>
      </w:r>
      <w:r>
        <w:rPr>
          <w:rFonts w:hint="eastAsia" w:ascii="仿宋_GB2312" w:hAnsi="仿宋_GB2312" w:eastAsia="仿宋_GB2312" w:cs="仿宋_GB2312"/>
          <w:b w:val="0"/>
          <w:bCs w:val="0"/>
          <w:color w:val="auto"/>
          <w:sz w:val="32"/>
          <w:szCs w:val="32"/>
          <w:shd w:val="clear" w:color="auto" w:fill="FFFFFF"/>
        </w:rPr>
        <w:t>万元。</w:t>
      </w:r>
      <w:r>
        <w:rPr>
          <w:rFonts w:hint="eastAsia" w:ascii="仿宋_GB2312" w:hAnsi="仿宋_GB2312" w:eastAsia="仿宋_GB2312" w:cs="仿宋_GB2312"/>
          <w:b w:val="0"/>
          <w:bCs w:val="0"/>
          <w:sz w:val="32"/>
          <w:szCs w:val="32"/>
          <w:shd w:val="clear" w:color="auto" w:fill="FFFFFF"/>
          <w:lang w:eastAsia="zh-CN"/>
        </w:rPr>
        <w:t>二是多方式加</w:t>
      </w:r>
      <w:r>
        <w:rPr>
          <w:rFonts w:hint="eastAsia" w:ascii="仿宋_GB2312" w:hAnsi="仿宋_GB2312" w:eastAsia="仿宋_GB2312" w:cs="仿宋_GB2312"/>
          <w:b w:val="0"/>
          <w:bCs w:val="0"/>
          <w:sz w:val="32"/>
          <w:szCs w:val="32"/>
          <w:shd w:val="clear" w:color="auto" w:fill="FFFFFF"/>
        </w:rPr>
        <w:t>大</w:t>
      </w:r>
      <w:r>
        <w:rPr>
          <w:rFonts w:hint="eastAsia" w:ascii="仿宋_GB2312" w:hAnsi="仿宋_GB2312" w:eastAsia="仿宋_GB2312" w:cs="仿宋_GB2312"/>
          <w:b w:val="0"/>
          <w:bCs w:val="0"/>
          <w:sz w:val="32"/>
          <w:szCs w:val="32"/>
          <w:shd w:val="clear" w:color="auto" w:fill="FFFFFF"/>
          <w:lang w:eastAsia="zh-CN"/>
        </w:rPr>
        <w:t>宣传</w:t>
      </w:r>
      <w:r>
        <w:rPr>
          <w:rFonts w:hint="eastAsia" w:ascii="仿宋_GB2312" w:hAnsi="仿宋_GB2312" w:eastAsia="仿宋_GB2312" w:cs="仿宋_GB2312"/>
          <w:b w:val="0"/>
          <w:bCs w:val="0"/>
          <w:sz w:val="32"/>
          <w:szCs w:val="32"/>
          <w:shd w:val="clear" w:color="auto" w:fill="FFFFFF"/>
        </w:rPr>
        <w:t>力度</w:t>
      </w:r>
      <w:r>
        <w:rPr>
          <w:rFonts w:hint="eastAsia" w:ascii="仿宋_GB2312" w:hAnsi="仿宋_GB2312" w:eastAsia="仿宋_GB2312" w:cs="仿宋_GB2312"/>
          <w:b w:val="0"/>
          <w:bCs w:val="0"/>
          <w:sz w:val="32"/>
          <w:szCs w:val="32"/>
          <w:shd w:val="clear" w:color="auto" w:fill="FFFFFF"/>
          <w:lang w:eastAsia="zh-CN"/>
        </w:rPr>
        <w:t>，</w:t>
      </w:r>
      <w:r>
        <w:rPr>
          <w:rFonts w:hint="eastAsia" w:ascii="仿宋_GB2312" w:hAnsi="仿宋_GB2312" w:eastAsia="仿宋_GB2312" w:cs="仿宋_GB2312"/>
          <w:b w:val="0"/>
          <w:bCs w:val="0"/>
          <w:sz w:val="32"/>
          <w:szCs w:val="32"/>
          <w:shd w:val="clear" w:color="auto" w:fill="FFFFFF"/>
        </w:rPr>
        <w:t>印</w:t>
      </w:r>
      <w:r>
        <w:rPr>
          <w:rFonts w:hint="eastAsia" w:ascii="仿宋_GB2312" w:hAnsi="仿宋_GB2312" w:eastAsia="仿宋_GB2312" w:cs="仿宋_GB2312"/>
          <w:b w:val="0"/>
          <w:bCs w:val="0"/>
          <w:sz w:val="32"/>
          <w:szCs w:val="32"/>
          <w:shd w:val="clear" w:color="auto" w:fill="FFFFFF"/>
          <w:lang w:eastAsia="zh-CN"/>
        </w:rPr>
        <w:t>发</w:t>
      </w:r>
      <w:r>
        <w:rPr>
          <w:rFonts w:hint="eastAsia" w:ascii="仿宋_GB2312" w:hAnsi="仿宋_GB2312" w:eastAsia="仿宋_GB2312" w:cs="仿宋_GB2312"/>
          <w:b w:val="0"/>
          <w:bCs w:val="0"/>
          <w:sz w:val="32"/>
          <w:szCs w:val="32"/>
          <w:shd w:val="clear" w:color="auto" w:fill="FFFFFF"/>
          <w:lang w:val="en-US" w:eastAsia="zh-CN"/>
        </w:rPr>
        <w:t>50000</w:t>
      </w:r>
      <w:r>
        <w:rPr>
          <w:rFonts w:hint="eastAsia" w:ascii="仿宋_GB2312" w:hAnsi="仿宋_GB2312" w:eastAsia="仿宋_GB2312" w:cs="仿宋_GB2312"/>
          <w:b w:val="0"/>
          <w:bCs w:val="0"/>
          <w:sz w:val="32"/>
          <w:szCs w:val="32"/>
          <w:shd w:val="clear" w:color="auto" w:fill="FFFFFF"/>
        </w:rPr>
        <w:t>份</w:t>
      </w:r>
      <w:r>
        <w:rPr>
          <w:rFonts w:hint="eastAsia" w:ascii="仿宋_GB2312" w:hAnsi="仿宋_GB2312" w:eastAsia="仿宋_GB2312" w:cs="仿宋_GB2312"/>
          <w:b w:val="0"/>
          <w:bCs w:val="0"/>
          <w:sz w:val="32"/>
          <w:szCs w:val="32"/>
          <w:shd w:val="clear" w:color="auto" w:fill="FFFFFF"/>
          <w:lang w:eastAsia="zh-CN"/>
        </w:rPr>
        <w:t>计生保险</w:t>
      </w:r>
      <w:r>
        <w:rPr>
          <w:rFonts w:hint="eastAsia" w:ascii="仿宋_GB2312" w:hAnsi="仿宋_GB2312" w:eastAsia="仿宋_GB2312" w:cs="仿宋_GB2312"/>
          <w:b w:val="0"/>
          <w:bCs w:val="0"/>
          <w:sz w:val="32"/>
          <w:szCs w:val="32"/>
          <w:shd w:val="clear" w:color="auto" w:fill="FFFFFF"/>
        </w:rPr>
        <w:t>宣传折页，</w:t>
      </w:r>
      <w:r>
        <w:rPr>
          <w:rFonts w:hint="eastAsia" w:ascii="仿宋_GB2312" w:hAnsi="仿宋_GB2312" w:eastAsia="仿宋_GB2312" w:cs="仿宋_GB2312"/>
          <w:b w:val="0"/>
          <w:bCs w:val="0"/>
          <w:sz w:val="32"/>
          <w:szCs w:val="32"/>
          <w:shd w:val="clear" w:color="auto" w:fill="FFFFFF"/>
          <w:lang w:eastAsia="zh-CN"/>
        </w:rPr>
        <w:t>定制</w:t>
      </w:r>
      <w:r>
        <w:rPr>
          <w:rFonts w:hint="eastAsia" w:ascii="仿宋_GB2312" w:hAnsi="仿宋_GB2312" w:eastAsia="仿宋_GB2312" w:cs="仿宋_GB2312"/>
          <w:b w:val="0"/>
          <w:bCs w:val="0"/>
          <w:sz w:val="32"/>
          <w:szCs w:val="32"/>
          <w:shd w:val="clear" w:color="auto" w:fill="FFFFFF"/>
          <w:lang w:val="en-US" w:eastAsia="zh-CN"/>
        </w:rPr>
        <w:t>10000份计生保险宣传品，</w:t>
      </w:r>
      <w:r>
        <w:rPr>
          <w:rFonts w:hint="eastAsia" w:ascii="仿宋_GB2312" w:hAnsi="仿宋_GB2312" w:eastAsia="仿宋_GB2312" w:cs="仿宋_GB2312"/>
          <w:b w:val="0"/>
          <w:bCs w:val="0"/>
          <w:sz w:val="32"/>
          <w:szCs w:val="32"/>
          <w:shd w:val="clear" w:color="auto" w:fill="FFFFFF"/>
        </w:rPr>
        <w:t>发送</w:t>
      </w:r>
      <w:r>
        <w:rPr>
          <w:rFonts w:hint="eastAsia" w:ascii="仿宋_GB2312" w:hAnsi="仿宋_GB2312" w:eastAsia="仿宋_GB2312" w:cs="仿宋_GB2312"/>
          <w:b w:val="0"/>
          <w:bCs w:val="0"/>
          <w:sz w:val="32"/>
          <w:szCs w:val="32"/>
          <w:shd w:val="clear" w:color="auto" w:fill="FFFFFF"/>
          <w:lang w:val="en-US" w:eastAsia="zh-CN"/>
        </w:rPr>
        <w:t>18.38</w:t>
      </w:r>
      <w:r>
        <w:rPr>
          <w:rFonts w:hint="eastAsia" w:ascii="仿宋_GB2312" w:hAnsi="仿宋_GB2312" w:eastAsia="仿宋_GB2312" w:cs="仿宋_GB2312"/>
          <w:b w:val="0"/>
          <w:bCs w:val="0"/>
          <w:sz w:val="32"/>
          <w:szCs w:val="32"/>
          <w:shd w:val="clear" w:color="auto" w:fill="FFFFFF"/>
        </w:rPr>
        <w:t>万条短信</w:t>
      </w:r>
      <w:r>
        <w:rPr>
          <w:rFonts w:hint="eastAsia" w:ascii="仿宋_GB2312" w:hAnsi="仿宋_GB2312" w:eastAsia="仿宋_GB2312" w:cs="仿宋_GB2312"/>
          <w:b w:val="0"/>
          <w:bCs w:val="0"/>
          <w:sz w:val="32"/>
          <w:szCs w:val="32"/>
          <w:shd w:val="clear" w:color="auto" w:fill="FFFFFF"/>
          <w:lang w:eastAsia="zh-CN"/>
        </w:rPr>
        <w:t>精准</w:t>
      </w:r>
      <w:r>
        <w:rPr>
          <w:rFonts w:hint="eastAsia" w:ascii="仿宋_GB2312" w:hAnsi="仿宋_GB2312" w:eastAsia="仿宋_GB2312" w:cs="仿宋_GB2312"/>
          <w:b w:val="0"/>
          <w:bCs w:val="0"/>
          <w:sz w:val="32"/>
          <w:szCs w:val="32"/>
          <w:shd w:val="clear" w:color="auto" w:fill="FFFFFF"/>
        </w:rPr>
        <w:t>通知</w:t>
      </w:r>
      <w:r>
        <w:rPr>
          <w:rFonts w:hint="eastAsia" w:ascii="仿宋_GB2312" w:hAnsi="仿宋_GB2312" w:eastAsia="仿宋_GB2312" w:cs="仿宋_GB2312"/>
          <w:b w:val="0"/>
          <w:bCs w:val="0"/>
          <w:sz w:val="32"/>
          <w:szCs w:val="32"/>
          <w:shd w:val="clear" w:color="auto" w:fill="FFFFFF"/>
          <w:lang w:eastAsia="zh-CN"/>
        </w:rPr>
        <w:t>参保</w:t>
      </w:r>
      <w:r>
        <w:rPr>
          <w:rFonts w:hint="eastAsia" w:ascii="仿宋_GB2312" w:hAnsi="仿宋_GB2312" w:eastAsia="仿宋_GB2312" w:cs="仿宋_GB2312"/>
          <w:b w:val="0"/>
          <w:bCs w:val="0"/>
          <w:sz w:val="32"/>
          <w:szCs w:val="32"/>
          <w:shd w:val="clear" w:color="auto" w:fill="FFFFFF"/>
        </w:rPr>
        <w:t>对象</w:t>
      </w:r>
      <w:r>
        <w:rPr>
          <w:rFonts w:hint="eastAsia" w:ascii="仿宋_GB2312" w:hAnsi="仿宋_GB2312" w:eastAsia="仿宋_GB2312" w:cs="仿宋_GB2312"/>
          <w:b w:val="0"/>
          <w:bCs w:val="0"/>
          <w:sz w:val="32"/>
          <w:szCs w:val="32"/>
          <w:shd w:val="clear" w:color="auto" w:fill="FFFFFF"/>
          <w:lang w:eastAsia="zh-CN"/>
        </w:rPr>
        <w:t>，制作保险项目短视频，通过《思明快报》和社区居民网格群播放宣传</w:t>
      </w:r>
      <w:r>
        <w:rPr>
          <w:rFonts w:hint="eastAsia" w:ascii="仿宋_GB2312" w:hAnsi="仿宋_GB2312" w:eastAsia="仿宋_GB2312" w:cs="仿宋_GB2312"/>
          <w:b w:val="0"/>
          <w:bCs w:val="0"/>
          <w:sz w:val="32"/>
          <w:szCs w:val="32"/>
          <w:shd w:val="clear" w:color="auto" w:fill="FFFFFF"/>
        </w:rPr>
        <w:t>。</w:t>
      </w:r>
      <w:r>
        <w:rPr>
          <w:rFonts w:hint="eastAsia" w:ascii="仿宋_GB2312" w:hAnsi="仿宋_GB2312" w:eastAsia="仿宋_GB2312" w:cs="仿宋_GB2312"/>
          <w:b w:val="0"/>
          <w:bCs w:val="0"/>
          <w:sz w:val="32"/>
          <w:szCs w:val="32"/>
          <w:shd w:val="clear" w:color="auto" w:fill="FFFFFF"/>
          <w:lang w:eastAsia="zh-CN"/>
        </w:rPr>
        <w:t>三是多举措规范管理服务，每季度召开一次“三方”联席会议，共同讨论理赔服务中出现的不足和问题，集体研究处置突出个案。截至</w:t>
      </w:r>
      <w:r>
        <w:rPr>
          <w:rFonts w:hint="eastAsia" w:ascii="仿宋_GB2312" w:hAnsi="仿宋_GB2312" w:eastAsia="仿宋_GB2312" w:cs="仿宋_GB2312"/>
          <w:b w:val="0"/>
          <w:bCs w:val="0"/>
          <w:sz w:val="32"/>
          <w:szCs w:val="32"/>
          <w:shd w:val="clear" w:color="auto" w:fill="FFFFFF"/>
          <w:lang w:val="en-US" w:eastAsia="zh-CN"/>
        </w:rPr>
        <w:t>2024年10月</w:t>
      </w:r>
      <w:r>
        <w:rPr>
          <w:rFonts w:hint="eastAsia" w:ascii="仿宋_GB2312" w:hAnsi="仿宋_GB2312" w:eastAsia="仿宋_GB2312" w:cs="仿宋_GB2312"/>
          <w:b w:val="0"/>
          <w:bCs w:val="0"/>
          <w:sz w:val="32"/>
          <w:szCs w:val="32"/>
          <w:shd w:val="clear" w:color="auto" w:fill="FFFFFF"/>
        </w:rPr>
        <w:t>，</w:t>
      </w:r>
      <w:r>
        <w:rPr>
          <w:rFonts w:hint="eastAsia" w:ascii="仿宋_GB2312" w:hAnsi="仿宋_GB2312" w:eastAsia="仿宋_GB2312" w:cs="仿宋_GB2312"/>
          <w:b w:val="0"/>
          <w:bCs w:val="0"/>
          <w:sz w:val="32"/>
          <w:szCs w:val="32"/>
          <w:shd w:val="clear" w:color="auto" w:fill="FFFFFF"/>
          <w:lang w:eastAsia="zh-CN"/>
        </w:rPr>
        <w:t>理赔</w:t>
      </w:r>
      <w:r>
        <w:rPr>
          <w:rFonts w:hint="eastAsia" w:ascii="仿宋_GB2312" w:hAnsi="仿宋_GB2312" w:eastAsia="仿宋_GB2312" w:cs="仿宋_GB2312"/>
          <w:b w:val="0"/>
          <w:bCs w:val="0"/>
          <w:color w:val="auto"/>
          <w:sz w:val="32"/>
          <w:szCs w:val="32"/>
          <w:shd w:val="clear" w:color="auto" w:fill="FFFFFF"/>
        </w:rPr>
        <w:t>结案</w:t>
      </w:r>
      <w:r>
        <w:rPr>
          <w:rFonts w:hint="eastAsia" w:ascii="仿宋_GB2312" w:hAnsi="仿宋_GB2312" w:eastAsia="仿宋_GB2312" w:cs="仿宋_GB2312"/>
          <w:b w:val="0"/>
          <w:bCs w:val="0"/>
          <w:color w:val="auto"/>
          <w:sz w:val="32"/>
          <w:szCs w:val="32"/>
          <w:u w:val="none"/>
          <w:shd w:val="clear" w:color="auto" w:fill="FFFFFF"/>
          <w:lang w:val="en-US" w:eastAsia="zh-CN"/>
        </w:rPr>
        <w:t>13650</w:t>
      </w:r>
      <w:r>
        <w:rPr>
          <w:rFonts w:hint="eastAsia" w:ascii="仿宋_GB2312" w:hAnsi="仿宋_GB2312" w:eastAsia="仿宋_GB2312" w:cs="仿宋_GB2312"/>
          <w:b w:val="0"/>
          <w:bCs w:val="0"/>
          <w:color w:val="auto"/>
          <w:sz w:val="32"/>
          <w:szCs w:val="32"/>
          <w:u w:val="none"/>
          <w:shd w:val="clear" w:color="auto" w:fill="FFFFFF"/>
        </w:rPr>
        <w:t>件，赔付金额</w:t>
      </w:r>
      <w:r>
        <w:rPr>
          <w:rFonts w:hint="eastAsia" w:ascii="仿宋_GB2312" w:hAnsi="仿宋_GB2312" w:eastAsia="仿宋_GB2312" w:cs="仿宋_GB2312"/>
          <w:b w:val="0"/>
          <w:bCs w:val="0"/>
          <w:color w:val="auto"/>
          <w:sz w:val="32"/>
          <w:szCs w:val="32"/>
          <w:u w:val="none"/>
          <w:shd w:val="clear" w:color="auto" w:fill="FFFFFF"/>
          <w:lang w:val="en-US" w:eastAsia="zh-CN"/>
        </w:rPr>
        <w:t>1274.23</w:t>
      </w:r>
      <w:r>
        <w:rPr>
          <w:rFonts w:hint="eastAsia" w:ascii="仿宋_GB2312" w:hAnsi="仿宋_GB2312" w:eastAsia="仿宋_GB2312" w:cs="仿宋_GB2312"/>
          <w:b w:val="0"/>
          <w:bCs w:val="0"/>
          <w:color w:val="auto"/>
          <w:sz w:val="32"/>
          <w:szCs w:val="32"/>
          <w:u w:val="none"/>
          <w:shd w:val="clear" w:color="auto" w:fill="FFFFFF"/>
        </w:rPr>
        <w:t>万元，简单赔付率</w:t>
      </w:r>
      <w:r>
        <w:rPr>
          <w:rFonts w:hint="eastAsia" w:ascii="仿宋_GB2312" w:hAnsi="仿宋_GB2312" w:eastAsia="仿宋_GB2312" w:cs="仿宋_GB2312"/>
          <w:b w:val="0"/>
          <w:bCs w:val="0"/>
          <w:color w:val="auto"/>
          <w:sz w:val="32"/>
          <w:szCs w:val="32"/>
          <w:u w:val="none"/>
          <w:shd w:val="clear" w:color="auto" w:fill="FFFFFF"/>
          <w:lang w:val="en-US" w:eastAsia="zh-CN"/>
        </w:rPr>
        <w:t>108.41</w:t>
      </w:r>
      <w:r>
        <w:rPr>
          <w:rFonts w:hint="eastAsia" w:ascii="仿宋_GB2312" w:hAnsi="仿宋_GB2312" w:eastAsia="仿宋_GB2312" w:cs="仿宋_GB2312"/>
          <w:b w:val="0"/>
          <w:bCs w:val="0"/>
          <w:color w:val="auto"/>
          <w:sz w:val="32"/>
          <w:szCs w:val="32"/>
          <w:u w:val="none"/>
          <w:shd w:val="clear" w:color="auto" w:fill="FFFFFF"/>
        </w:rPr>
        <w:t>%</w:t>
      </w:r>
      <w:r>
        <w:rPr>
          <w:rFonts w:hint="eastAsia" w:ascii="仿宋_GB2312" w:hAnsi="仿宋_GB2312" w:eastAsia="仿宋_GB2312" w:cs="仿宋_GB2312"/>
          <w:b w:val="0"/>
          <w:bCs w:val="0"/>
          <w:color w:val="auto"/>
          <w:sz w:val="32"/>
          <w:szCs w:val="32"/>
          <w:u w:val="none"/>
          <w:shd w:val="clear" w:color="auto" w:fill="FFFFFF"/>
          <w:lang w:eastAsia="zh-CN"/>
        </w:rPr>
        <w:t>，其中住院护理补贴险</w:t>
      </w:r>
      <w:r>
        <w:rPr>
          <w:rFonts w:hint="eastAsia" w:ascii="仿宋_GB2312" w:hAnsi="仿宋_GB2312" w:eastAsia="仿宋_GB2312" w:cs="仿宋_GB2312"/>
          <w:b w:val="0"/>
          <w:bCs w:val="0"/>
          <w:color w:val="auto"/>
          <w:sz w:val="32"/>
          <w:szCs w:val="32"/>
          <w:shd w:val="clear" w:color="auto" w:fill="FFFFFF"/>
        </w:rPr>
        <w:t>结案</w:t>
      </w:r>
      <w:r>
        <w:rPr>
          <w:rFonts w:hint="eastAsia" w:ascii="仿宋_GB2312" w:hAnsi="仿宋_GB2312" w:eastAsia="仿宋_GB2312" w:cs="仿宋_GB2312"/>
          <w:b w:val="0"/>
          <w:bCs w:val="0"/>
          <w:color w:val="auto"/>
          <w:sz w:val="32"/>
          <w:szCs w:val="32"/>
          <w:shd w:val="clear" w:color="auto" w:fill="FFFFFF"/>
          <w:lang w:val="en-US" w:eastAsia="zh-CN"/>
        </w:rPr>
        <w:t>200</w:t>
      </w:r>
      <w:r>
        <w:rPr>
          <w:rFonts w:hint="eastAsia" w:ascii="仿宋_GB2312" w:hAnsi="仿宋_GB2312" w:eastAsia="仿宋_GB2312" w:cs="仿宋_GB2312"/>
          <w:b w:val="0"/>
          <w:bCs w:val="0"/>
          <w:color w:val="auto"/>
          <w:sz w:val="32"/>
          <w:szCs w:val="32"/>
          <w:u w:val="none"/>
          <w:shd w:val="clear" w:color="auto" w:fill="FFFFFF"/>
        </w:rPr>
        <w:t>件，赔付金额</w:t>
      </w:r>
      <w:r>
        <w:rPr>
          <w:rFonts w:hint="eastAsia" w:ascii="仿宋_GB2312" w:hAnsi="仿宋_GB2312" w:eastAsia="仿宋_GB2312" w:cs="仿宋_GB2312"/>
          <w:b w:val="0"/>
          <w:bCs w:val="0"/>
          <w:color w:val="auto"/>
          <w:sz w:val="32"/>
          <w:szCs w:val="32"/>
          <w:u w:val="none"/>
          <w:shd w:val="clear" w:color="auto" w:fill="FFFFFF"/>
          <w:lang w:val="en-US" w:eastAsia="zh-CN"/>
        </w:rPr>
        <w:t>85.06</w:t>
      </w:r>
      <w:r>
        <w:rPr>
          <w:rFonts w:hint="eastAsia" w:ascii="仿宋_GB2312" w:hAnsi="仿宋_GB2312" w:eastAsia="仿宋_GB2312" w:cs="仿宋_GB2312"/>
          <w:b w:val="0"/>
          <w:bCs w:val="0"/>
          <w:color w:val="auto"/>
          <w:sz w:val="32"/>
          <w:szCs w:val="32"/>
          <w:u w:val="none"/>
          <w:shd w:val="clear" w:color="auto" w:fill="FFFFFF"/>
        </w:rPr>
        <w:t>万元。</w:t>
      </w:r>
    </w:p>
    <w:p>
      <w:pPr>
        <w:widowControl w:val="0"/>
        <w:numPr>
          <w:numId w:val="0"/>
        </w:numPr>
        <w:pBdr>
          <w:bottom w:val="single" w:color="FFFFFF" w:sz="4" w:space="31"/>
        </w:pBdr>
        <w:tabs>
          <w:tab w:val="left" w:pos="1440"/>
        </w:tabs>
        <w:wordWrap/>
        <w:autoSpaceDN w:val="0"/>
        <w:adjustRightInd/>
        <w:snapToGrid/>
        <w:spacing w:before="0" w:line="620" w:lineRule="exact"/>
        <w:ind w:left="0" w:leftChars="0" w:right="0" w:firstLine="640" w:firstLineChars="200"/>
        <w:jc w:val="both"/>
        <w:textAlignment w:val="auto"/>
        <w:outlineLvl w:val="9"/>
        <w:rPr>
          <w:rFonts w:hint="eastAsia" w:ascii="仿宋" w:hAnsi="仿宋" w:eastAsia="仿宋" w:cs="仿宋"/>
          <w:b w:val="0"/>
          <w:bCs w:val="0"/>
          <w:color w:val="auto"/>
          <w:kern w:val="0"/>
          <w:sz w:val="32"/>
          <w:szCs w:val="32"/>
          <w:lang w:val="en-US" w:eastAsia="zh-CN"/>
        </w:rPr>
      </w:pPr>
      <w:r>
        <w:rPr>
          <w:rFonts w:hint="eastAsia" w:ascii="仿宋_GB2312" w:hAnsi="仿宋_GB2312" w:eastAsia="仿宋_GB2312" w:cs="仿宋_GB2312"/>
          <w:b w:val="0"/>
          <w:bCs w:val="0"/>
          <w:color w:val="auto"/>
          <w:sz w:val="32"/>
          <w:szCs w:val="32"/>
          <w:lang w:val="en-US" w:eastAsia="zh-CN"/>
        </w:rPr>
        <w:t>3.围绕“三扶”帮扶模式，探索幸福工程转型发展。全区投入51万元项目资金，启动新一轮幸福工程项目，扶助12名计生母亲就业创业。开展幸福母亲创业交流活动，邀请10位创业代表交流分享创业经验。支出项目经费3000元，关怀扶助1名患重大疾病的计生困难母亲。</w:t>
      </w:r>
      <w:r>
        <w:rPr>
          <w:rFonts w:hint="eastAsia" w:ascii="仿宋_GB2312" w:hAnsi="仿宋_GB2312" w:eastAsia="仿宋_GB2312" w:cs="仿宋_GB2312"/>
          <w:b w:val="0"/>
          <w:bCs w:val="0"/>
          <w:color w:val="auto"/>
          <w:kern w:val="0"/>
          <w:sz w:val="32"/>
          <w:szCs w:val="32"/>
          <w:lang w:val="en-US" w:eastAsia="zh-CN"/>
        </w:rPr>
        <w:t>“幸福工程-幸福学堂”项目</w:t>
      </w:r>
      <w:r>
        <w:rPr>
          <w:rFonts w:hint="eastAsia" w:ascii="仿宋_GB2312" w:hAnsi="仿宋_GB2312" w:eastAsia="仿宋_GB2312" w:cs="仿宋_GB2312"/>
          <w:b w:val="0"/>
          <w:bCs w:val="0"/>
          <w:color w:val="auto"/>
          <w:sz w:val="32"/>
          <w:szCs w:val="32"/>
          <w:lang w:val="en-US" w:eastAsia="zh-CN"/>
        </w:rPr>
        <w:t>走进10个街道</w:t>
      </w:r>
      <w:r>
        <w:rPr>
          <w:rFonts w:hint="eastAsia" w:ascii="仿宋_GB2312" w:hAnsi="仿宋_GB2312" w:eastAsia="仿宋_GB2312" w:cs="仿宋_GB2312"/>
          <w:b w:val="0"/>
          <w:bCs w:val="0"/>
          <w:color w:val="auto"/>
          <w:kern w:val="0"/>
          <w:sz w:val="32"/>
          <w:szCs w:val="32"/>
          <w:lang w:val="en-US" w:eastAsia="zh-CN"/>
        </w:rPr>
        <w:t>扶智赋能</w:t>
      </w:r>
      <w:r>
        <w:rPr>
          <w:rFonts w:hint="eastAsia" w:ascii="仿宋_GB2312" w:hAnsi="仿宋_GB2312" w:eastAsia="仿宋_GB2312" w:cs="仿宋_GB2312"/>
          <w:b w:val="0"/>
          <w:bCs w:val="0"/>
          <w:color w:val="auto"/>
          <w:sz w:val="32"/>
          <w:szCs w:val="32"/>
          <w:lang w:val="en-US" w:eastAsia="zh-CN"/>
        </w:rPr>
        <w:t>，提高计生母亲实用技能，</w:t>
      </w:r>
      <w:r>
        <w:rPr>
          <w:rFonts w:hint="eastAsia" w:ascii="仿宋_GB2312" w:hAnsi="仿宋_GB2312" w:eastAsia="仿宋_GB2312" w:cs="仿宋_GB2312"/>
          <w:b w:val="0"/>
          <w:bCs w:val="0"/>
          <w:color w:val="auto"/>
          <w:kern w:val="0"/>
          <w:sz w:val="32"/>
          <w:szCs w:val="32"/>
          <w:lang w:val="en-US" w:eastAsia="zh-CN"/>
        </w:rPr>
        <w:t>开班12期，报名参加培训323人，320人取得结业证。</w:t>
      </w:r>
    </w:p>
    <w:p>
      <w:pPr>
        <w:pStyle w:val="23"/>
        <w:widowControl/>
        <w:spacing w:before="100" w:after="100" w:line="600" w:lineRule="atLeast"/>
        <w:ind w:left="0" w:right="0" w:firstLine="640"/>
        <w:jc w:val="left"/>
        <w:rPr>
          <w:rFonts w:ascii="仿宋_GB2312" w:hAnsi="仿宋_GB2312" w:eastAsia="仿宋_GB2312" w:cs="仿宋_GB2312"/>
          <w:spacing w:val="0"/>
          <w:kern w:val="0"/>
          <w:sz w:val="32"/>
          <w:szCs w:val="32"/>
        </w:rPr>
      </w:pPr>
    </w:p>
    <w:p>
      <w:pPr>
        <w:sectPr>
          <w:footerReference r:id="rId7" w:type="default"/>
          <w:pgSz w:w="11906" w:h="16838"/>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page break</w:t>
      </w:r>
    </w:p>
    <w:p>
      <w:pPr>
        <w:widowControl/>
        <w:spacing w:before="240" w:after="240"/>
        <w:jc w:val="left"/>
        <w:rPr>
          <w:rFonts w:ascii="Times New Roman" w:hAnsi="Times New Roman" w:eastAsia="Times New Roman" w:cs="Times New Roman"/>
          <w:kern w:val="0"/>
          <w:sz w:val="24"/>
        </w:rPr>
      </w:pPr>
    </w:p>
    <w:p>
      <w:pPr>
        <w:pStyle w:val="24"/>
        <w:widowControl/>
        <w:spacing w:before="100" w:after="100"/>
        <w:ind w:left="0" w:right="0" w:firstLine="0"/>
        <w:jc w:val="left"/>
        <w:rPr>
          <w:rFonts w:ascii="Times New Roman" w:hAnsi="Times New Roman" w:eastAsia="Times New Roman" w:cs="Times New Roman"/>
          <w:kern w:val="0"/>
          <w:sz w:val="24"/>
        </w:rPr>
      </w:pPr>
    </w:p>
    <w:p>
      <w:pPr>
        <w:pStyle w:val="24"/>
        <w:widowControl/>
        <w:spacing w:before="100" w:after="100"/>
        <w:ind w:left="0" w:right="0" w:firstLine="0"/>
        <w:jc w:val="left"/>
        <w:rPr>
          <w:rFonts w:ascii="Times New Roman" w:hAnsi="Times New Roman" w:eastAsia="Times New Roman" w:cs="Times New Roman"/>
          <w:kern w:val="0"/>
          <w:sz w:val="24"/>
        </w:rPr>
      </w:pPr>
    </w:p>
    <w:p>
      <w:pPr>
        <w:pStyle w:val="24"/>
        <w:widowControl/>
        <w:spacing w:before="100" w:after="100"/>
        <w:ind w:left="0" w:right="0" w:firstLine="0"/>
        <w:jc w:val="left"/>
        <w:rPr>
          <w:rFonts w:ascii="Times New Roman" w:hAnsi="Times New Roman" w:eastAsia="Times New Roman" w:cs="Times New Roman"/>
          <w:kern w:val="0"/>
          <w:sz w:val="24"/>
        </w:rPr>
      </w:pPr>
    </w:p>
    <w:p>
      <w:pPr>
        <w:pStyle w:val="24"/>
        <w:widowControl/>
        <w:spacing w:before="100" w:after="100"/>
        <w:ind w:left="0" w:right="0" w:firstLine="0"/>
        <w:jc w:val="left"/>
        <w:rPr>
          <w:rFonts w:ascii="Times New Roman" w:hAnsi="Times New Roman" w:eastAsia="Times New Roman" w:cs="Times New Roman"/>
          <w:kern w:val="0"/>
          <w:sz w:val="24"/>
        </w:rPr>
      </w:pPr>
    </w:p>
    <w:p>
      <w:pPr>
        <w:pStyle w:val="24"/>
        <w:widowControl/>
        <w:spacing w:before="100" w:after="100"/>
        <w:ind w:left="0" w:right="0" w:firstLine="0"/>
        <w:jc w:val="left"/>
        <w:rPr>
          <w:rFonts w:ascii="Times New Roman" w:hAnsi="Times New Roman" w:eastAsia="Times New Roman" w:cs="Times New Roman"/>
          <w:kern w:val="0"/>
          <w:sz w:val="24"/>
        </w:rPr>
      </w:pPr>
    </w:p>
    <w:p>
      <w:pPr>
        <w:pStyle w:val="24"/>
        <w:widowControl/>
        <w:spacing w:before="100" w:after="100"/>
        <w:ind w:left="0" w:right="0" w:firstLine="0"/>
        <w:jc w:val="left"/>
        <w:rPr>
          <w:rFonts w:ascii="Times New Roman" w:hAnsi="Times New Roman" w:eastAsia="Times New Roman" w:cs="Times New Roman"/>
          <w:kern w:val="0"/>
          <w:sz w:val="24"/>
        </w:rPr>
      </w:pPr>
    </w:p>
    <w:p>
      <w:pPr>
        <w:pStyle w:val="24"/>
        <w:widowControl/>
        <w:spacing w:before="100" w:after="100"/>
        <w:ind w:left="0" w:right="0" w:firstLine="0"/>
        <w:jc w:val="left"/>
        <w:rPr>
          <w:rFonts w:ascii="Times New Roman" w:hAnsi="Times New Roman" w:eastAsia="Times New Roman" w:cs="Times New Roman"/>
          <w:kern w:val="0"/>
          <w:sz w:val="24"/>
        </w:rPr>
      </w:pPr>
    </w:p>
    <w:p>
      <w:pPr>
        <w:pStyle w:val="24"/>
        <w:widowControl/>
        <w:spacing w:before="100" w:after="100"/>
        <w:ind w:left="0" w:right="0" w:firstLine="0"/>
        <w:jc w:val="left"/>
        <w:rPr>
          <w:rFonts w:ascii="Times New Roman" w:hAnsi="Times New Roman" w:eastAsia="Times New Roman" w:cs="Times New Roman"/>
          <w:kern w:val="0"/>
          <w:sz w:val="24"/>
        </w:rPr>
      </w:pPr>
    </w:p>
    <w:p>
      <w:pPr>
        <w:pStyle w:val="24"/>
        <w:widowControl/>
        <w:spacing w:before="100" w:after="100"/>
        <w:ind w:left="0" w:right="0" w:firstLine="0"/>
        <w:jc w:val="left"/>
        <w:rPr>
          <w:rFonts w:ascii="Times New Roman" w:hAnsi="Times New Roman" w:eastAsia="Times New Roman" w:cs="Times New Roman"/>
          <w:kern w:val="0"/>
          <w:sz w:val="24"/>
        </w:rPr>
      </w:pPr>
    </w:p>
    <w:p>
      <w:pPr>
        <w:pStyle w:val="24"/>
        <w:widowControl/>
        <w:spacing w:before="100" w:after="100"/>
        <w:ind w:left="0" w:right="0" w:firstLine="0"/>
        <w:jc w:val="left"/>
        <w:rPr>
          <w:rFonts w:ascii="Times New Roman" w:hAnsi="Times New Roman" w:eastAsia="Times New Roman" w:cs="Times New Roman"/>
          <w:kern w:val="0"/>
          <w:sz w:val="24"/>
        </w:rPr>
      </w:pPr>
    </w:p>
    <w:p>
      <w:pPr>
        <w:pStyle w:val="24"/>
        <w:widowControl/>
        <w:spacing w:before="100" w:after="100"/>
        <w:ind w:left="0" w:right="0" w:firstLine="0"/>
        <w:jc w:val="left"/>
        <w:rPr>
          <w:rFonts w:ascii="Times New Roman" w:hAnsi="Times New Roman" w:eastAsia="Times New Roman" w:cs="Times New Roman"/>
          <w:kern w:val="0"/>
          <w:sz w:val="24"/>
        </w:rPr>
      </w:pPr>
    </w:p>
    <w:p>
      <w:pPr>
        <w:pStyle w:val="24"/>
        <w:widowControl/>
        <w:spacing w:before="100" w:after="100"/>
        <w:ind w:left="0" w:right="0" w:firstLine="0"/>
        <w:jc w:val="left"/>
        <w:rPr>
          <w:rFonts w:ascii="Times New Roman" w:hAnsi="Times New Roman" w:eastAsia="Times New Roman" w:cs="Times New Roman"/>
          <w:kern w:val="0"/>
          <w:sz w:val="24"/>
        </w:rPr>
      </w:pPr>
    </w:p>
    <w:p>
      <w:pPr>
        <w:pStyle w:val="3"/>
        <w:spacing w:before="100" w:after="100" w:line="240" w:lineRule="auto"/>
        <w:ind w:left="0" w:right="0" w:firstLine="0" w:firstLineChars="0"/>
        <w:rPr>
          <w:rFonts w:ascii="Times New Roman" w:hAnsi="Times New Roman" w:eastAsia="Times New Roman" w:cs="Times New Roman"/>
          <w:b/>
          <w:bCs/>
          <w:kern w:val="0"/>
          <w:sz w:val="36"/>
          <w:szCs w:val="36"/>
        </w:rPr>
      </w:pPr>
      <w:bookmarkStart w:id="21" w:name="_Toc256000005"/>
      <w:bookmarkStart w:id="22" w:name="_Toc256000067"/>
      <w:bookmarkStart w:id="23" w:name="_Toc256000098"/>
      <w:bookmarkStart w:id="24" w:name="_Toc256000036"/>
      <w:r>
        <w:rPr>
          <w:rFonts w:ascii="黑体" w:hAnsi="黑体" w:eastAsia="黑体" w:cs="黑体"/>
          <w:b/>
          <w:spacing w:val="0"/>
          <w:sz w:val="56"/>
          <w:szCs w:val="56"/>
        </w:rPr>
        <w:t>第二部分</w:t>
      </w:r>
      <w:bookmarkEnd w:id="21"/>
      <w:bookmarkEnd w:id="22"/>
      <w:bookmarkEnd w:id="23"/>
      <w:bookmarkEnd w:id="24"/>
      <w:r>
        <w:rPr>
          <w:rFonts w:ascii="宋体" w:hAnsi="宋体" w:eastAsia="宋体" w:cs="宋体"/>
          <w:b/>
          <w:spacing w:val="0"/>
          <w:sz w:val="56"/>
          <w:szCs w:val="56"/>
        </w:rPr>
        <w:t> </w:t>
      </w:r>
    </w:p>
    <w:p>
      <w:pPr>
        <w:pStyle w:val="3"/>
        <w:spacing w:before="100" w:after="100" w:line="240" w:lineRule="auto"/>
        <w:ind w:left="0" w:right="0" w:firstLine="0" w:firstLineChars="0"/>
        <w:jc w:val="center"/>
        <w:rPr>
          <w:rFonts w:ascii="Times New Roman" w:hAnsi="Times New Roman" w:eastAsia="Times New Roman" w:cs="Times New Roman"/>
          <w:b/>
          <w:bCs/>
          <w:kern w:val="0"/>
          <w:sz w:val="36"/>
          <w:szCs w:val="36"/>
        </w:rPr>
      </w:pPr>
      <w:bookmarkStart w:id="25" w:name="_Toc256000068"/>
      <w:bookmarkStart w:id="26" w:name="_Toc256000006"/>
      <w:bookmarkStart w:id="27" w:name="_Toc256000099"/>
      <w:bookmarkStart w:id="28" w:name="_Toc256000037"/>
      <w:r>
        <w:rPr>
          <w:rFonts w:ascii="黑体" w:hAnsi="黑体" w:eastAsia="黑体" w:cs="黑体"/>
          <w:b/>
          <w:spacing w:val="0"/>
          <w:sz w:val="56"/>
          <w:szCs w:val="56"/>
        </w:rPr>
        <w:t>2024年度决算表</w:t>
      </w:r>
      <w:bookmarkEnd w:id="25"/>
      <w:bookmarkEnd w:id="26"/>
      <w:bookmarkEnd w:id="27"/>
      <w:bookmarkEnd w:id="28"/>
    </w:p>
    <w:p>
      <w:pPr>
        <w:pStyle w:val="24"/>
        <w:widowControl/>
        <w:spacing w:before="100" w:after="100"/>
        <w:ind w:left="0" w:right="0" w:firstLine="0"/>
        <w:jc w:val="center"/>
        <w:rPr>
          <w:rFonts w:ascii="Times New Roman" w:hAnsi="Times New Roman" w:eastAsia="Times New Roman" w:cs="Times New Roman"/>
          <w:kern w:val="0"/>
          <w:sz w:val="24"/>
        </w:rPr>
      </w:pPr>
    </w:p>
    <w:p>
      <w:pPr>
        <w:sectPr>
          <w:footerReference r:id="rId8" w:type="default"/>
          <w:pgSz w:w="11906" w:h="16838"/>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page break</w:t>
      </w:r>
    </w:p>
    <w:p>
      <w:pPr>
        <w:widowControl/>
        <w:spacing w:before="240" w:after="240"/>
        <w:jc w:val="left"/>
        <w:rPr>
          <w:rFonts w:ascii="Times New Roman" w:hAnsi="Times New Roman" w:eastAsia="Times New Roman" w:cs="Times New Roman"/>
          <w:kern w:val="0"/>
          <w:sz w:val="24"/>
        </w:rPr>
      </w:pPr>
    </w:p>
    <w:p>
      <w:pPr>
        <w:pStyle w:val="5"/>
        <w:spacing w:before="100" w:after="100" w:line="240" w:lineRule="auto"/>
        <w:ind w:left="0" w:right="0" w:firstLine="0" w:firstLineChars="0"/>
        <w:rPr>
          <w:rFonts w:ascii="Times New Roman" w:hAnsi="Times New Roman" w:eastAsia="Times New Roman" w:cs="Times New Roman"/>
          <w:b/>
          <w:bCs/>
          <w:kern w:val="0"/>
          <w:sz w:val="28"/>
          <w:szCs w:val="28"/>
        </w:rPr>
      </w:pPr>
      <w:bookmarkStart w:id="29" w:name="_Toc256000069"/>
      <w:bookmarkStart w:id="30" w:name="_Toc256000007"/>
      <w:bookmarkStart w:id="31" w:name="_Toc256000038"/>
      <w:bookmarkStart w:id="32" w:name="_Toc256000100"/>
      <w:r>
        <w:rPr>
          <w:rFonts w:ascii="黑体" w:hAnsi="黑体" w:eastAsia="黑体" w:cs="黑体"/>
          <w:b/>
          <w:spacing w:val="0"/>
        </w:rPr>
        <w:t>一、收入支出决算总表</w:t>
      </w:r>
      <w:bookmarkEnd w:id="29"/>
      <w:bookmarkEnd w:id="30"/>
      <w:bookmarkEnd w:id="31"/>
      <w:bookmarkEnd w:id="32"/>
    </w:p>
    <w:p>
      <w:pPr>
        <w:sectPr>
          <w:footerReference r:id="rId9" w:type="default"/>
          <w:pgSz w:w="11906" w:h="16838"/>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tbl>
      <w:tblPr>
        <w:tblW w:w="1498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517"/>
        <w:gridCol w:w="2517"/>
        <w:gridCol w:w="2518"/>
        <w:gridCol w:w="2518"/>
        <w:gridCol w:w="2395"/>
        <w:gridCol w:w="25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Header/>
        </w:trPr>
        <w:tc>
          <w:tcPr>
            <w:tcW w:w="14983" w:type="dxa"/>
            <w:gridSpan w:val="6"/>
            <w:tcMar>
              <w:top w:w="20" w:type="dxa"/>
              <w:left w:w="20" w:type="dxa"/>
              <w:bottom w:w="20" w:type="dxa"/>
              <w:right w:w="20" w:type="dxa"/>
            </w:tcMar>
            <w:vAlign w:val="center"/>
          </w:tcPr>
          <w:p>
            <w:pPr>
              <w:widowControl/>
              <w:spacing w:line="900" w:lineRule="atLeast"/>
              <w:jc w:val="center"/>
              <w:rPr>
                <w:rFonts w:ascii="Times New Roman" w:hAnsi="Times New Roman" w:eastAsia="Times New Roman" w:cs="Times New Roman"/>
                <w:b w:val="0"/>
                <w:bCs w:val="0"/>
                <w:i w:val="0"/>
                <w:iCs w:val="0"/>
                <w:smallCaps w:val="0"/>
                <w:color w:val="000000"/>
                <w:kern w:val="0"/>
                <w:sz w:val="27"/>
                <w:szCs w:val="27"/>
              </w:rPr>
            </w:pPr>
            <w:r>
              <w:rPr>
                <w:rFonts w:ascii="宋体" w:hAnsi="宋体" w:eastAsia="宋体" w:cs="宋体"/>
                <w:b w:val="0"/>
                <w:bCs w:val="0"/>
                <w:i w:val="0"/>
                <w:iCs w:val="0"/>
                <w:smallCaps w:val="0"/>
                <w:color w:val="000000"/>
                <w:kern w:val="0"/>
                <w:sz w:val="27"/>
                <w:szCs w:val="27"/>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Header/>
        </w:trPr>
        <w:tc>
          <w:tcPr>
            <w:tcW w:w="2517"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517"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518"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518"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39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518" w:type="dxa"/>
            <w:tcMar>
              <w:top w:w="20" w:type="dxa"/>
              <w:left w:w="20" w:type="dxa"/>
              <w:bottom w:w="20" w:type="dxa"/>
              <w:right w:w="20"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552" w:type="dxa"/>
            <w:gridSpan w:val="3"/>
            <w:tcMar>
              <w:top w:w="20" w:type="dxa"/>
              <w:left w:w="20" w:type="dxa"/>
              <w:bottom w:w="20" w:type="dxa"/>
              <w:right w:w="20"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部门</w:t>
            </w:r>
            <w:r>
              <w:rPr>
                <w:rFonts w:ascii="Times New Roman" w:hAnsi="Times New Roman" w:eastAsia="Times New Roman" w:cs="Times New Roman"/>
                <w:b w:val="0"/>
                <w:bCs w:val="0"/>
                <w:i w:val="0"/>
                <w:iCs w:val="0"/>
                <w:smallCaps w:val="0"/>
                <w:color w:val="000000"/>
                <w:kern w:val="0"/>
                <w:sz w:val="29"/>
                <w:szCs w:val="29"/>
              </w:rPr>
              <w:t>/</w:t>
            </w:r>
            <w:r>
              <w:rPr>
                <w:rFonts w:ascii="宋体" w:hAnsi="宋体" w:eastAsia="宋体" w:cs="宋体"/>
                <w:b w:val="0"/>
                <w:bCs w:val="0"/>
                <w:i w:val="0"/>
                <w:iCs w:val="0"/>
                <w:smallCaps w:val="0"/>
                <w:color w:val="000000"/>
                <w:kern w:val="0"/>
                <w:sz w:val="29"/>
                <w:szCs w:val="29"/>
              </w:rPr>
              <w:t>单位：厦门市思明区计划生育协会（本级）</w:t>
            </w:r>
          </w:p>
        </w:tc>
        <w:tc>
          <w:tcPr>
            <w:tcW w:w="2518" w:type="dxa"/>
            <w:tcMar>
              <w:top w:w="20" w:type="dxa"/>
              <w:left w:w="20" w:type="dxa"/>
              <w:bottom w:w="20" w:type="dxa"/>
              <w:right w:w="20"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2024</w:t>
            </w:r>
            <w:r>
              <w:rPr>
                <w:rFonts w:ascii="宋体" w:hAnsi="宋体" w:eastAsia="宋体" w:cs="宋体"/>
                <w:b w:val="0"/>
                <w:bCs w:val="0"/>
                <w:i w:val="0"/>
                <w:iCs w:val="0"/>
                <w:smallCaps w:val="0"/>
                <w:color w:val="000000"/>
                <w:kern w:val="0"/>
                <w:sz w:val="29"/>
                <w:szCs w:val="29"/>
              </w:rPr>
              <w:t>年度</w:t>
            </w:r>
          </w:p>
        </w:tc>
        <w:tc>
          <w:tcPr>
            <w:tcW w:w="239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518" w:type="dxa"/>
            <w:tcMar>
              <w:top w:w="20" w:type="dxa"/>
              <w:left w:w="20" w:type="dxa"/>
              <w:bottom w:w="20" w:type="dxa"/>
              <w:right w:w="20"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552"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收入</w:t>
            </w:r>
          </w:p>
        </w:tc>
        <w:tc>
          <w:tcPr>
            <w:tcW w:w="7431"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项目</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行次</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金额</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项目</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行次</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栏次</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栏次</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一、一般公共预算财政拨款收入</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1,545.85</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一、一般公共服务支出</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32</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二、政府性基金预算财政拨款收入</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二、外交支出</w:t>
            </w:r>
            <w:r>
              <w:rPr>
                <w:rFonts w:ascii="Times New Roman" w:hAnsi="Times New Roman" w:eastAsia="Times New Roman" w:cs="Times New Roman"/>
                <w:b w:val="0"/>
                <w:bCs w:val="0"/>
                <w:i w:val="0"/>
                <w:iCs w:val="0"/>
                <w:smallCaps w:val="0"/>
                <w:color w:val="000000"/>
                <w:kern w:val="0"/>
                <w:sz w:val="26"/>
                <w:szCs w:val="26"/>
              </w:rPr>
              <w:t xml:space="preserve"> </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33</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三、国有资本经营预算财政拨款收入</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三、国防支出</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34</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四、上级补助收入</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四、公共安全支出</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35</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五、事业收入</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五、教育支出</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36</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六、经营收入</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六、科学技术支出</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37</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七、附属单位上缴收入</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七、文化旅游体育与传媒支出</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38</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八、其他收入</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8</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8.3</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八、社会保障和就业支出</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39</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9</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九、卫生健康支出</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40</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1,523.66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10</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十、节能环保支出</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41</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11</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十一、城乡社区支出</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42</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12</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十二、农林水支出</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43</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13</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十三、交通运输支出</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44</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14</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十四、资源勘探工业信息等支出</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45</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15</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十五、商业服务业等支出</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46</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16</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十六、金融支出</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47</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17</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十七、援助其他地区支出</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48</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18</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十八、自然资源海洋气象等支出</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49</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19</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十九、住房保障支出</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50</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20</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二十、粮油物资储备支出</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51</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21</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二十一、国有资本经营预算支出</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52</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22</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二十二、灾害防治及应急管理支出</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53</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23</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二十三、其他支出</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54</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24</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二十四、债务还本支出</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55</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25</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二十五、债务付息支出</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56</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26</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二十六、抗疫特别国债安排的支出</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57</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本年收入合计</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27</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1,554.15</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本年支出合计</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58</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1,568.59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使用非财政拨款结余（含专用结余）</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28</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结余分配</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59</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年初结转和结余</w:t>
            </w:r>
            <w:r>
              <w:rPr>
                <w:rFonts w:ascii="Times New Roman" w:hAnsi="Times New Roman" w:eastAsia="Times New Roman" w:cs="Times New Roman"/>
                <w:b w:val="0"/>
                <w:bCs w:val="0"/>
                <w:i w:val="0"/>
                <w:iCs w:val="0"/>
                <w:smallCaps w:val="0"/>
                <w:color w:val="000000"/>
                <w:kern w:val="0"/>
                <w:sz w:val="26"/>
                <w:szCs w:val="26"/>
              </w:rPr>
              <w:t xml:space="preserve"> </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29</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286.95</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年末结转和结余</w:t>
            </w:r>
            <w:r>
              <w:rPr>
                <w:rFonts w:ascii="Times New Roman" w:hAnsi="Times New Roman" w:eastAsia="Times New Roman" w:cs="Times New Roman"/>
                <w:b w:val="0"/>
                <w:bCs w:val="0"/>
                <w:i w:val="0"/>
                <w:iCs w:val="0"/>
                <w:smallCaps w:val="0"/>
                <w:color w:val="000000"/>
                <w:kern w:val="0"/>
                <w:sz w:val="26"/>
                <w:szCs w:val="26"/>
              </w:rPr>
              <w:t xml:space="preserve"> </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60</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272.51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61</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总计</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1,841.1</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总计</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62</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1,841.1</w:t>
            </w:r>
          </w:p>
        </w:tc>
      </w:tr>
    </w:tbl>
    <w:p>
      <w:pPr>
        <w:widowControl/>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pPr>
        <w:pStyle w:val="23"/>
        <w:widowControl/>
        <w:pBdr>
          <w:left w:val="none" w:color="auto" w:sz="0" w:space="30"/>
        </w:pBdr>
        <w:spacing w:before="0" w:after="0"/>
        <w:ind w:left="600" w:right="0"/>
        <w:rPr>
          <w:rFonts w:eastAsia="Times New Roman"/>
          <w:kern w:val="0"/>
          <w:szCs w:val="21"/>
        </w:rPr>
      </w:pPr>
      <w:r>
        <w:rPr>
          <w:rFonts w:ascii="kai_ti_gb2312" w:hAnsi="kai_ti_gb2312" w:eastAsia="kai_ti_gb2312" w:cs="kai_ti_gb2312"/>
          <w:kern w:val="0"/>
          <w:sz w:val="26"/>
          <w:szCs w:val="26"/>
        </w:rPr>
        <w:t>注：1.本表反映本年度的总收支和年末结转结余情况。</w:t>
      </w:r>
    </w:p>
    <w:p>
      <w:pPr>
        <w:pStyle w:val="23"/>
        <w:widowControl/>
        <w:pBdr>
          <w:left w:val="none" w:color="auto" w:sz="0" w:space="31"/>
        </w:pBdr>
        <w:spacing w:before="0" w:after="0"/>
        <w:ind w:left="1200" w:right="0"/>
        <w:rPr>
          <w:rFonts w:eastAsia="Times New Roman"/>
          <w:kern w:val="0"/>
          <w:szCs w:val="21"/>
        </w:rPr>
      </w:pPr>
      <w:r>
        <w:rPr>
          <w:rFonts w:ascii="kai_ti_gb2312" w:hAnsi="kai_ti_gb2312" w:eastAsia="kai_ti_gb2312" w:cs="kai_ti_gb2312"/>
          <w:kern w:val="0"/>
          <w:sz w:val="26"/>
          <w:szCs w:val="26"/>
        </w:rPr>
        <w:t>2.本套报表金额单位转换时可能存在尾数误差。</w:t>
      </w:r>
    </w:p>
    <w:p>
      <w:pPr>
        <w:pStyle w:val="5"/>
        <w:spacing w:before="100" w:after="100" w:line="240" w:lineRule="auto"/>
        <w:ind w:left="0" w:right="0" w:firstLine="0" w:firstLineChars="0"/>
        <w:rPr>
          <w:rFonts w:ascii="Times New Roman" w:hAnsi="Times New Roman" w:eastAsia="Times New Roman" w:cs="Times New Roman"/>
          <w:b/>
          <w:bCs/>
          <w:kern w:val="0"/>
          <w:sz w:val="28"/>
          <w:szCs w:val="28"/>
        </w:rPr>
      </w:pPr>
      <w:bookmarkStart w:id="33" w:name="_Toc256000070"/>
      <w:bookmarkStart w:id="34" w:name="_Toc256000101"/>
      <w:bookmarkStart w:id="35" w:name="_Toc256000008"/>
      <w:bookmarkStart w:id="36" w:name="_Toc256000039"/>
      <w:r>
        <w:rPr>
          <w:rFonts w:ascii="黑体" w:hAnsi="黑体" w:eastAsia="黑体" w:cs="黑体"/>
          <w:b/>
          <w:spacing w:val="0"/>
        </w:rPr>
        <w:t>二、收入决算表</w:t>
      </w:r>
      <w:bookmarkEnd w:id="33"/>
      <w:bookmarkEnd w:id="34"/>
      <w:bookmarkEnd w:id="35"/>
      <w:bookmarkEnd w:id="36"/>
    </w:p>
    <w:p>
      <w:pPr>
        <w:sectPr>
          <w:footerReference r:id="rId10" w:type="default"/>
          <w:pgSz w:w="16383" w:h="11906" w:orient="landscape"/>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tbl>
      <w:tblPr>
        <w:tblW w:w="1498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664"/>
        <w:gridCol w:w="1664"/>
        <w:gridCol w:w="1665"/>
        <w:gridCol w:w="1665"/>
        <w:gridCol w:w="1665"/>
        <w:gridCol w:w="1665"/>
        <w:gridCol w:w="1665"/>
        <w:gridCol w:w="1665"/>
        <w:gridCol w:w="1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Header/>
        </w:trPr>
        <w:tc>
          <w:tcPr>
            <w:tcW w:w="14983" w:type="dxa"/>
            <w:gridSpan w:val="9"/>
            <w:tcMar>
              <w:top w:w="20" w:type="dxa"/>
              <w:left w:w="20" w:type="dxa"/>
              <w:bottom w:w="20" w:type="dxa"/>
              <w:right w:w="20" w:type="dxa"/>
            </w:tcMar>
            <w:vAlign w:val="center"/>
          </w:tcPr>
          <w:p>
            <w:pPr>
              <w:widowControl/>
              <w:spacing w:line="900" w:lineRule="atLeast"/>
              <w:jc w:val="center"/>
              <w:rPr>
                <w:rFonts w:ascii="Times New Roman" w:hAnsi="Times New Roman" w:eastAsia="Times New Roman" w:cs="Times New Roman"/>
                <w:b w:val="0"/>
                <w:bCs w:val="0"/>
                <w:i w:val="0"/>
                <w:iCs w:val="0"/>
                <w:smallCaps w:val="0"/>
                <w:color w:val="000000"/>
                <w:kern w:val="0"/>
                <w:sz w:val="27"/>
                <w:szCs w:val="27"/>
              </w:rPr>
            </w:pPr>
            <w:r>
              <w:rPr>
                <w:rFonts w:ascii="宋体" w:hAnsi="宋体" w:eastAsia="宋体" w:cs="宋体"/>
                <w:b w:val="0"/>
                <w:bCs w:val="0"/>
                <w:i w:val="0"/>
                <w:iCs w:val="0"/>
                <w:smallCaps w:val="0"/>
                <w:color w:val="000000"/>
                <w:kern w:val="0"/>
                <w:sz w:val="27"/>
                <w:szCs w:val="27"/>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Header/>
        </w:trPr>
        <w:tc>
          <w:tcPr>
            <w:tcW w:w="1664"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4"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Mar>
              <w:top w:w="20" w:type="dxa"/>
              <w:left w:w="20" w:type="dxa"/>
              <w:bottom w:w="20" w:type="dxa"/>
              <w:right w:w="20"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658" w:type="dxa"/>
            <w:gridSpan w:val="4"/>
            <w:tcMar>
              <w:top w:w="20" w:type="dxa"/>
              <w:left w:w="20" w:type="dxa"/>
              <w:bottom w:w="20" w:type="dxa"/>
              <w:right w:w="20"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部门</w:t>
            </w:r>
            <w:r>
              <w:rPr>
                <w:rFonts w:ascii="Times New Roman" w:hAnsi="Times New Roman" w:eastAsia="Times New Roman" w:cs="Times New Roman"/>
                <w:b w:val="0"/>
                <w:bCs w:val="0"/>
                <w:i w:val="0"/>
                <w:iCs w:val="0"/>
                <w:smallCaps w:val="0"/>
                <w:color w:val="000000"/>
                <w:kern w:val="0"/>
                <w:sz w:val="29"/>
                <w:szCs w:val="29"/>
              </w:rPr>
              <w:t>/</w:t>
            </w:r>
            <w:r>
              <w:rPr>
                <w:rFonts w:ascii="宋体" w:hAnsi="宋体" w:eastAsia="宋体" w:cs="宋体"/>
                <w:b w:val="0"/>
                <w:bCs w:val="0"/>
                <w:i w:val="0"/>
                <w:iCs w:val="0"/>
                <w:smallCaps w:val="0"/>
                <w:color w:val="000000"/>
                <w:kern w:val="0"/>
                <w:sz w:val="29"/>
                <w:szCs w:val="29"/>
              </w:rPr>
              <w:t>单位：厦门市思明区计划生育协会（本级）</w:t>
            </w:r>
          </w:p>
        </w:tc>
        <w:tc>
          <w:tcPr>
            <w:tcW w:w="1665" w:type="dxa"/>
            <w:tcMar>
              <w:top w:w="20" w:type="dxa"/>
              <w:left w:w="20" w:type="dxa"/>
              <w:bottom w:w="20" w:type="dxa"/>
              <w:right w:w="20"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2024</w:t>
            </w:r>
            <w:r>
              <w:rPr>
                <w:rFonts w:ascii="宋体" w:hAnsi="宋体" w:eastAsia="宋体" w:cs="宋体"/>
                <w:b w:val="0"/>
                <w:bCs w:val="0"/>
                <w:i w:val="0"/>
                <w:iCs w:val="0"/>
                <w:smallCaps w:val="0"/>
                <w:color w:val="000000"/>
                <w:kern w:val="0"/>
                <w:sz w:val="29"/>
                <w:szCs w:val="29"/>
              </w:rPr>
              <w:t>年度</w:t>
            </w:r>
          </w:p>
        </w:tc>
        <w:tc>
          <w:tcPr>
            <w:tcW w:w="166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Mar>
              <w:top w:w="20" w:type="dxa"/>
              <w:left w:w="20" w:type="dxa"/>
              <w:bottom w:w="20" w:type="dxa"/>
              <w:right w:w="20"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Header/>
        </w:trPr>
        <w:tc>
          <w:tcPr>
            <w:tcW w:w="3328" w:type="dxa"/>
            <w:gridSpan w:val="2"/>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项目</w:t>
            </w:r>
          </w:p>
        </w:tc>
        <w:tc>
          <w:tcPr>
            <w:tcW w:w="1665"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本年收入合计</w:t>
            </w:r>
          </w:p>
        </w:tc>
        <w:tc>
          <w:tcPr>
            <w:tcW w:w="1665"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财政拨款收入</w:t>
            </w:r>
            <w:r>
              <w:rPr>
                <w:rFonts w:ascii="Times New Roman" w:hAnsi="Times New Roman" w:eastAsia="Times New Roman" w:cs="Times New Roman"/>
                <w:b w:val="0"/>
                <w:bCs w:val="0"/>
                <w:i w:val="0"/>
                <w:iCs w:val="0"/>
                <w:smallCaps w:val="0"/>
                <w:color w:val="000000"/>
                <w:kern w:val="0"/>
                <w:sz w:val="26"/>
                <w:szCs w:val="26"/>
              </w:rPr>
              <w:t xml:space="preserve"> </w:t>
            </w:r>
          </w:p>
        </w:tc>
        <w:tc>
          <w:tcPr>
            <w:tcW w:w="1665"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上级补助收入</w:t>
            </w:r>
          </w:p>
        </w:tc>
        <w:tc>
          <w:tcPr>
            <w:tcW w:w="1665"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事业收入</w:t>
            </w:r>
          </w:p>
        </w:tc>
        <w:tc>
          <w:tcPr>
            <w:tcW w:w="1665"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经营收入</w:t>
            </w:r>
          </w:p>
        </w:tc>
        <w:tc>
          <w:tcPr>
            <w:tcW w:w="1665"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附属单位上缴收入</w:t>
            </w:r>
          </w:p>
        </w:tc>
        <w:tc>
          <w:tcPr>
            <w:tcW w:w="1665"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Header/>
        </w:trPr>
        <w:tc>
          <w:tcPr>
            <w:tcW w:w="1664"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科目代码</w:t>
            </w:r>
          </w:p>
        </w:tc>
        <w:tc>
          <w:tcPr>
            <w:tcW w:w="1664"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科目名称</w:t>
            </w:r>
          </w:p>
        </w:tc>
        <w:tc>
          <w:tcPr>
            <w:tcW w:w="166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66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66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66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66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66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66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Header/>
        </w:trPr>
        <w:tc>
          <w:tcPr>
            <w:tcW w:w="166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66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66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66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66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66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66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66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66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328" w:type="dxa"/>
            <w:gridSpan w:val="2"/>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栏次</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3328" w:type="dxa"/>
            <w:gridSpan w:val="2"/>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合计</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1,554.15</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1,545.85</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社会保障和就业支出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44.94</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44.94</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20805</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行政事业单位养老支出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44.94</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44.94</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2080501</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行政单位离退休</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23.57</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23.57</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2080505</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机关事业单位基本养老保险缴费支出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14.24</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14.24</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2080506</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机关事业单位职业年金缴费支出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7.12</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7.12</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卫生健康支出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1,509.21</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1,500.91</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21001</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卫生健康管理事务</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179.59</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179.59</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2100101</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行政运行</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179.59</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179.59</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21007</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计划生育事务</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1,320.4</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1,312.1</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2100799</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其他计划生育事务支出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1,320.4</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1,312.1</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21011</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行政事业单位医疗</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9.21</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9.21</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2101101</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行政单位医疗</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6.1</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6.1</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2101103</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公务员医疗补助</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3.12</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3.12</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bl>
    <w:p>
      <w:pPr>
        <w:widowControl/>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pPr>
        <w:pStyle w:val="24"/>
        <w:widowControl/>
        <w:pBdr>
          <w:left w:val="none" w:color="auto" w:sz="0" w:space="30"/>
        </w:pBdr>
        <w:spacing w:before="100" w:after="100"/>
        <w:ind w:left="600" w:right="0" w:firstLine="0"/>
        <w:jc w:val="left"/>
        <w:rPr>
          <w:rFonts w:ascii="Times New Roman" w:hAnsi="Times New Roman" w:eastAsia="Times New Roman" w:cs="Times New Roman"/>
          <w:kern w:val="0"/>
          <w:sz w:val="24"/>
        </w:rPr>
      </w:pPr>
      <w:r>
        <w:rPr>
          <w:rFonts w:ascii="kai_ti_gb2312" w:hAnsi="kai_ti_gb2312" w:eastAsia="kai_ti_gb2312" w:cs="kai_ti_gb2312"/>
          <w:kern w:val="0"/>
          <w:sz w:val="26"/>
          <w:szCs w:val="26"/>
        </w:rPr>
        <w:t>注：本表反映取得的各项收入情况。</w:t>
      </w:r>
    </w:p>
    <w:p>
      <w:pPr>
        <w:pStyle w:val="5"/>
        <w:spacing w:before="100" w:after="100" w:line="240" w:lineRule="auto"/>
        <w:ind w:left="0" w:right="0" w:firstLine="0" w:firstLineChars="0"/>
        <w:rPr>
          <w:rFonts w:ascii="Times New Roman" w:hAnsi="Times New Roman" w:eastAsia="Times New Roman" w:cs="Times New Roman"/>
          <w:b/>
          <w:bCs/>
          <w:kern w:val="0"/>
          <w:sz w:val="28"/>
          <w:szCs w:val="28"/>
        </w:rPr>
      </w:pPr>
      <w:bookmarkStart w:id="37" w:name="_Toc256000040"/>
      <w:bookmarkStart w:id="38" w:name="_Toc256000071"/>
      <w:bookmarkStart w:id="39" w:name="_Toc256000009"/>
      <w:bookmarkStart w:id="40" w:name="_Toc256000102"/>
      <w:r>
        <w:rPr>
          <w:rFonts w:ascii="黑体" w:hAnsi="黑体" w:eastAsia="黑体" w:cs="黑体"/>
          <w:b/>
          <w:spacing w:val="0"/>
        </w:rPr>
        <w:t>三、支出决算表</w:t>
      </w:r>
      <w:bookmarkEnd w:id="37"/>
      <w:bookmarkEnd w:id="38"/>
      <w:bookmarkEnd w:id="39"/>
      <w:bookmarkEnd w:id="40"/>
    </w:p>
    <w:p>
      <w:pPr>
        <w:sectPr>
          <w:footerReference r:id="rId11" w:type="default"/>
          <w:pgSz w:w="16383" w:h="11906" w:orient="landscape"/>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tbl>
      <w:tblPr>
        <w:tblW w:w="1498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521"/>
        <w:gridCol w:w="1411"/>
        <w:gridCol w:w="1376"/>
        <w:gridCol w:w="1525"/>
        <w:gridCol w:w="1525"/>
        <w:gridCol w:w="1525"/>
        <w:gridCol w:w="1525"/>
        <w:gridCol w:w="1525"/>
        <w:gridCol w:w="1525"/>
        <w:gridCol w:w="15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Header/>
        </w:trPr>
        <w:tc>
          <w:tcPr>
            <w:tcW w:w="14983" w:type="dxa"/>
            <w:gridSpan w:val="10"/>
            <w:tcMar>
              <w:top w:w="20" w:type="dxa"/>
              <w:left w:w="20" w:type="dxa"/>
              <w:bottom w:w="20" w:type="dxa"/>
              <w:right w:w="20" w:type="dxa"/>
            </w:tcMar>
            <w:vAlign w:val="center"/>
          </w:tcPr>
          <w:p>
            <w:pPr>
              <w:widowControl/>
              <w:spacing w:line="900" w:lineRule="atLeast"/>
              <w:jc w:val="center"/>
              <w:rPr>
                <w:rFonts w:ascii="Times New Roman" w:hAnsi="Times New Roman" w:eastAsia="Times New Roman" w:cs="Times New Roman"/>
                <w:b w:val="0"/>
                <w:bCs w:val="0"/>
                <w:i w:val="0"/>
                <w:iCs w:val="0"/>
                <w:smallCaps w:val="0"/>
                <w:color w:val="000000"/>
                <w:kern w:val="0"/>
                <w:sz w:val="27"/>
                <w:szCs w:val="27"/>
              </w:rPr>
            </w:pPr>
            <w:r>
              <w:rPr>
                <w:rFonts w:ascii="宋体" w:hAnsi="宋体" w:eastAsia="宋体" w:cs="宋体"/>
                <w:b w:val="0"/>
                <w:bCs w:val="0"/>
                <w:i w:val="0"/>
                <w:iCs w:val="0"/>
                <w:smallCaps w:val="0"/>
                <w:color w:val="000000"/>
                <w:kern w:val="0"/>
                <w:sz w:val="27"/>
                <w:szCs w:val="27"/>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Header/>
        </w:trPr>
        <w:tc>
          <w:tcPr>
            <w:tcW w:w="1521"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411"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376"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Mar>
              <w:top w:w="20" w:type="dxa"/>
              <w:left w:w="20" w:type="dxa"/>
              <w:bottom w:w="20" w:type="dxa"/>
              <w:right w:w="20"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358" w:type="dxa"/>
            <w:gridSpan w:val="5"/>
            <w:tcMar>
              <w:top w:w="20" w:type="dxa"/>
              <w:left w:w="20" w:type="dxa"/>
              <w:bottom w:w="20" w:type="dxa"/>
              <w:right w:w="20"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部门</w:t>
            </w:r>
            <w:r>
              <w:rPr>
                <w:rFonts w:ascii="Times New Roman" w:hAnsi="Times New Roman" w:eastAsia="Times New Roman" w:cs="Times New Roman"/>
                <w:b w:val="0"/>
                <w:bCs w:val="0"/>
                <w:i w:val="0"/>
                <w:iCs w:val="0"/>
                <w:smallCaps w:val="0"/>
                <w:color w:val="000000"/>
                <w:kern w:val="0"/>
                <w:sz w:val="29"/>
                <w:szCs w:val="29"/>
              </w:rPr>
              <w:t>/</w:t>
            </w:r>
            <w:r>
              <w:rPr>
                <w:rFonts w:ascii="宋体" w:hAnsi="宋体" w:eastAsia="宋体" w:cs="宋体"/>
                <w:b w:val="0"/>
                <w:bCs w:val="0"/>
                <w:i w:val="0"/>
                <w:iCs w:val="0"/>
                <w:smallCaps w:val="0"/>
                <w:color w:val="000000"/>
                <w:kern w:val="0"/>
                <w:sz w:val="29"/>
                <w:szCs w:val="29"/>
              </w:rPr>
              <w:t>单位：厦门市思明区计划生育协会（本级）</w:t>
            </w:r>
          </w:p>
        </w:tc>
        <w:tc>
          <w:tcPr>
            <w:tcW w:w="1525" w:type="dxa"/>
            <w:tcMar>
              <w:top w:w="20" w:type="dxa"/>
              <w:left w:w="20" w:type="dxa"/>
              <w:bottom w:w="20" w:type="dxa"/>
              <w:right w:w="20"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2024</w:t>
            </w:r>
            <w:r>
              <w:rPr>
                <w:rFonts w:ascii="宋体" w:hAnsi="宋体" w:eastAsia="宋体" w:cs="宋体"/>
                <w:b w:val="0"/>
                <w:bCs w:val="0"/>
                <w:i w:val="0"/>
                <w:iCs w:val="0"/>
                <w:smallCaps w:val="0"/>
                <w:color w:val="000000"/>
                <w:kern w:val="0"/>
                <w:sz w:val="29"/>
                <w:szCs w:val="29"/>
              </w:rPr>
              <w:t>年度</w:t>
            </w:r>
          </w:p>
        </w:tc>
        <w:tc>
          <w:tcPr>
            <w:tcW w:w="152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Mar>
              <w:top w:w="20" w:type="dxa"/>
              <w:left w:w="20" w:type="dxa"/>
              <w:bottom w:w="20" w:type="dxa"/>
              <w:right w:w="20"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Header/>
        </w:trPr>
        <w:tc>
          <w:tcPr>
            <w:tcW w:w="5833" w:type="dxa"/>
            <w:gridSpan w:val="4"/>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项目</w:t>
            </w:r>
          </w:p>
        </w:tc>
        <w:tc>
          <w:tcPr>
            <w:tcW w:w="1525"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本年支出合计</w:t>
            </w:r>
          </w:p>
        </w:tc>
        <w:tc>
          <w:tcPr>
            <w:tcW w:w="1525"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基本支出</w:t>
            </w:r>
          </w:p>
        </w:tc>
        <w:tc>
          <w:tcPr>
            <w:tcW w:w="1525"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项目支出</w:t>
            </w:r>
          </w:p>
        </w:tc>
        <w:tc>
          <w:tcPr>
            <w:tcW w:w="1525"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上缴上级支出</w:t>
            </w:r>
          </w:p>
        </w:tc>
        <w:tc>
          <w:tcPr>
            <w:tcW w:w="1525"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经营支出</w:t>
            </w:r>
          </w:p>
        </w:tc>
        <w:tc>
          <w:tcPr>
            <w:tcW w:w="1525"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Header/>
        </w:trPr>
        <w:tc>
          <w:tcPr>
            <w:tcW w:w="4308" w:type="dxa"/>
            <w:gridSpan w:val="3"/>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科目代码</w:t>
            </w:r>
          </w:p>
        </w:tc>
        <w:tc>
          <w:tcPr>
            <w:tcW w:w="1525"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科目名称</w:t>
            </w:r>
          </w:p>
        </w:tc>
        <w:tc>
          <w:tcPr>
            <w:tcW w:w="152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52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52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52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52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52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Header/>
        </w:trPr>
        <w:tc>
          <w:tcPr>
            <w:tcW w:w="4308" w:type="dxa"/>
            <w:gridSpan w:val="3"/>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52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52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52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52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52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52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52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833" w:type="dxa"/>
            <w:gridSpan w:val="4"/>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栏次</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3</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833" w:type="dxa"/>
            <w:gridSpan w:val="4"/>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合计</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1,568.59</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233.75</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1,334.85</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308"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社会保障和就业支出</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44.94</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44.94</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308"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20805</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行政事业单位养老支出</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44.94</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44.94</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308"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2080501</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行政单位离退休</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23.57</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23.57</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308"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2080505</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机关事业单位基本养老保险缴费支出</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14.24</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14.24</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308"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2080506</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机关事业单位职业年金缴费支出</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7.12</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7.12</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308"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卫生健康支出</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1,523.66</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188.81</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1,334.85</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308"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21001</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卫生健康管理事务</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179.59</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179.59</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308"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2100101</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行政运行</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179.59</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179.59</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308"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21007</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计划生育事务</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1,334.85</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1,334.85</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308"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2100799</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其他计划生育事务支出</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1,334.85</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1,334.85</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308"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21011</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行政事业单位医疗</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9.21</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9.21</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308"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2101101</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行政单位医疗</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6.1</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6.1</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308"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2101103</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公务员医疗补助</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3.12</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3.12</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bl>
    <w:p>
      <w:pPr>
        <w:widowControl/>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pPr>
        <w:pStyle w:val="24"/>
        <w:widowControl/>
        <w:pBdr>
          <w:left w:val="none" w:color="auto" w:sz="0" w:space="30"/>
        </w:pBdr>
        <w:spacing w:before="100" w:after="100"/>
        <w:ind w:left="600" w:right="0" w:firstLine="0"/>
        <w:jc w:val="left"/>
        <w:rPr>
          <w:rFonts w:ascii="Times New Roman" w:hAnsi="Times New Roman" w:eastAsia="Times New Roman" w:cs="Times New Roman"/>
          <w:kern w:val="0"/>
          <w:sz w:val="24"/>
        </w:rPr>
      </w:pPr>
      <w:r>
        <w:rPr>
          <w:rFonts w:ascii="kai_ti_gb2312" w:hAnsi="kai_ti_gb2312" w:eastAsia="kai_ti_gb2312" w:cs="kai_ti_gb2312"/>
          <w:spacing w:val="0"/>
          <w:kern w:val="0"/>
          <w:sz w:val="22"/>
          <w:szCs w:val="22"/>
        </w:rPr>
        <w:t> </w:t>
      </w:r>
      <w:r>
        <w:rPr>
          <w:rFonts w:ascii="kai_ti_gb2312" w:hAnsi="kai_ti_gb2312" w:eastAsia="kai_ti_gb2312" w:cs="kai_ti_gb2312"/>
          <w:spacing w:val="0"/>
          <w:kern w:val="0"/>
          <w:sz w:val="28"/>
          <w:szCs w:val="28"/>
        </w:rPr>
        <w:t>注：本表反映本年度各项支出情况。</w:t>
      </w:r>
    </w:p>
    <w:p>
      <w:pPr>
        <w:pStyle w:val="5"/>
        <w:spacing w:before="100" w:after="100" w:line="240" w:lineRule="auto"/>
        <w:ind w:left="0" w:right="0" w:firstLine="0" w:firstLineChars="0"/>
        <w:rPr>
          <w:rFonts w:ascii="Times New Roman" w:hAnsi="Times New Roman" w:eastAsia="Times New Roman" w:cs="Times New Roman"/>
          <w:b/>
          <w:bCs/>
          <w:kern w:val="0"/>
          <w:sz w:val="28"/>
          <w:szCs w:val="28"/>
        </w:rPr>
      </w:pPr>
      <w:bookmarkStart w:id="41" w:name="_Toc256000041"/>
      <w:bookmarkStart w:id="42" w:name="_Toc256000010"/>
      <w:bookmarkStart w:id="43" w:name="_Toc256000072"/>
      <w:bookmarkStart w:id="44" w:name="_Toc256000103"/>
      <w:r>
        <w:rPr>
          <w:rFonts w:ascii="黑体" w:hAnsi="黑体" w:eastAsia="黑体" w:cs="黑体"/>
          <w:b/>
          <w:spacing w:val="0"/>
        </w:rPr>
        <w:t>四、财政拨款收入支出决算总表</w:t>
      </w:r>
      <w:bookmarkEnd w:id="41"/>
      <w:bookmarkEnd w:id="42"/>
      <w:bookmarkEnd w:id="43"/>
      <w:bookmarkEnd w:id="44"/>
    </w:p>
    <w:p>
      <w:pPr>
        <w:sectPr>
          <w:footerReference r:id="rId12" w:type="default"/>
          <w:pgSz w:w="16383" w:h="11906" w:orient="landscape"/>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tbl>
      <w:tblPr>
        <w:tblW w:w="1498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664"/>
        <w:gridCol w:w="1664"/>
        <w:gridCol w:w="1665"/>
        <w:gridCol w:w="1665"/>
        <w:gridCol w:w="1665"/>
        <w:gridCol w:w="1665"/>
        <w:gridCol w:w="1665"/>
        <w:gridCol w:w="1665"/>
        <w:gridCol w:w="1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Header/>
        </w:trPr>
        <w:tc>
          <w:tcPr>
            <w:tcW w:w="14983" w:type="dxa"/>
            <w:gridSpan w:val="9"/>
            <w:tcMar>
              <w:top w:w="20" w:type="dxa"/>
              <w:left w:w="20" w:type="dxa"/>
              <w:bottom w:w="20" w:type="dxa"/>
              <w:right w:w="20" w:type="dxa"/>
            </w:tcMar>
            <w:vAlign w:val="center"/>
          </w:tcPr>
          <w:p>
            <w:pPr>
              <w:widowControl/>
              <w:spacing w:line="900" w:lineRule="atLeast"/>
              <w:jc w:val="center"/>
              <w:rPr>
                <w:rFonts w:ascii="Times New Roman" w:hAnsi="Times New Roman" w:eastAsia="Times New Roman" w:cs="Times New Roman"/>
                <w:b w:val="0"/>
                <w:bCs w:val="0"/>
                <w:i w:val="0"/>
                <w:iCs w:val="0"/>
                <w:smallCaps w:val="0"/>
                <w:color w:val="000000"/>
                <w:kern w:val="0"/>
                <w:sz w:val="27"/>
                <w:szCs w:val="27"/>
              </w:rPr>
            </w:pPr>
            <w:r>
              <w:rPr>
                <w:rFonts w:ascii="宋体" w:hAnsi="宋体" w:eastAsia="宋体" w:cs="宋体"/>
                <w:b w:val="0"/>
                <w:bCs w:val="0"/>
                <w:i w:val="0"/>
                <w:iCs w:val="0"/>
                <w:smallCaps w:val="0"/>
                <w:color w:val="000000"/>
                <w:kern w:val="0"/>
                <w:sz w:val="27"/>
                <w:szCs w:val="27"/>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Header/>
        </w:trPr>
        <w:tc>
          <w:tcPr>
            <w:tcW w:w="1664"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4"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Mar>
              <w:top w:w="20" w:type="dxa"/>
              <w:left w:w="20" w:type="dxa"/>
              <w:bottom w:w="20" w:type="dxa"/>
              <w:right w:w="20"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658" w:type="dxa"/>
            <w:gridSpan w:val="4"/>
            <w:tcMar>
              <w:top w:w="20" w:type="dxa"/>
              <w:left w:w="20" w:type="dxa"/>
              <w:bottom w:w="20" w:type="dxa"/>
              <w:right w:w="20"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部门</w:t>
            </w:r>
            <w:r>
              <w:rPr>
                <w:rFonts w:ascii="Times New Roman" w:hAnsi="Times New Roman" w:eastAsia="Times New Roman" w:cs="Times New Roman"/>
                <w:b w:val="0"/>
                <w:bCs w:val="0"/>
                <w:i w:val="0"/>
                <w:iCs w:val="0"/>
                <w:smallCaps w:val="0"/>
                <w:color w:val="000000"/>
                <w:kern w:val="0"/>
                <w:sz w:val="29"/>
                <w:szCs w:val="29"/>
              </w:rPr>
              <w:t>/</w:t>
            </w:r>
            <w:r>
              <w:rPr>
                <w:rFonts w:ascii="宋体" w:hAnsi="宋体" w:eastAsia="宋体" w:cs="宋体"/>
                <w:b w:val="0"/>
                <w:bCs w:val="0"/>
                <w:i w:val="0"/>
                <w:iCs w:val="0"/>
                <w:smallCaps w:val="0"/>
                <w:color w:val="000000"/>
                <w:kern w:val="0"/>
                <w:sz w:val="29"/>
                <w:szCs w:val="29"/>
              </w:rPr>
              <w:t>单位：厦门市思明区计划生育协会（本级）</w:t>
            </w:r>
          </w:p>
        </w:tc>
        <w:tc>
          <w:tcPr>
            <w:tcW w:w="1665" w:type="dxa"/>
            <w:tcMar>
              <w:top w:w="20" w:type="dxa"/>
              <w:left w:w="20" w:type="dxa"/>
              <w:bottom w:w="20" w:type="dxa"/>
              <w:right w:w="20"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2024</w:t>
            </w:r>
            <w:r>
              <w:rPr>
                <w:rFonts w:ascii="宋体" w:hAnsi="宋体" w:eastAsia="宋体" w:cs="宋体"/>
                <w:b w:val="0"/>
                <w:bCs w:val="0"/>
                <w:i w:val="0"/>
                <w:iCs w:val="0"/>
                <w:smallCaps w:val="0"/>
                <w:color w:val="000000"/>
                <w:kern w:val="0"/>
                <w:sz w:val="29"/>
                <w:szCs w:val="29"/>
              </w:rPr>
              <w:t>年度</w:t>
            </w:r>
          </w:p>
        </w:tc>
        <w:tc>
          <w:tcPr>
            <w:tcW w:w="166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Mar>
              <w:top w:w="20" w:type="dxa"/>
              <w:left w:w="20" w:type="dxa"/>
              <w:bottom w:w="20" w:type="dxa"/>
              <w:right w:w="20"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993"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收入</w:t>
            </w:r>
          </w:p>
        </w:tc>
        <w:tc>
          <w:tcPr>
            <w:tcW w:w="9990" w:type="dxa"/>
            <w:gridSpan w:val="6"/>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项目</w:t>
            </w:r>
            <w:r>
              <w:rPr>
                <w:rFonts w:ascii="Times New Roman" w:hAnsi="Times New Roman" w:eastAsia="Times New Roman" w:cs="Times New Roman"/>
                <w:b w:val="0"/>
                <w:bCs w:val="0"/>
                <w:i w:val="0"/>
                <w:iCs w:val="0"/>
                <w:smallCaps w:val="0"/>
                <w:color w:val="000000"/>
                <w:kern w:val="0"/>
                <w:sz w:val="26"/>
                <w:szCs w:val="26"/>
              </w:rPr>
              <w:t xml:space="preserve"> </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行次</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金额</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项目</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行次</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合计</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一般公共预算财政拨款</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政府性基金预算财政拨款</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栏次</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栏次</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一、一般公共预算财政拨款</w:t>
            </w:r>
            <w:r>
              <w:rPr>
                <w:rFonts w:ascii="Times New Roman" w:hAnsi="Times New Roman" w:eastAsia="Times New Roman" w:cs="Times New Roman"/>
                <w:b w:val="0"/>
                <w:bCs w:val="0"/>
                <w:i w:val="0"/>
                <w:iCs w:val="0"/>
                <w:smallCaps w:val="0"/>
                <w:color w:val="000000"/>
                <w:kern w:val="0"/>
                <w:sz w:val="26"/>
                <w:szCs w:val="26"/>
              </w:rPr>
              <w:t xml:space="preserve"> </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1,545.85</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一、一般公共服务支出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33</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二、政府性基金预算财政拨款</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二、外交支出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34</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三、国有资本经营预算财政拨款</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三、国防支出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35</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四、公共安全支出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36</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五、教育支出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37</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六、科学技术支出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38</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七、文化旅游体育与传媒支出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39</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8</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八、社会保障和就业支出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40</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44.94</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44.94</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9</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九、卫生健康支出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41</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1,500.91</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1,500.91</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10</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十、节能环保支出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42</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11</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十一、城乡社区支出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43</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12</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十二、农林水支出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44</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13</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十三、交通运输支出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45</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14</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十四、资源勘探工业信息等支出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46</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15</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十五、商业服务业等支出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47</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16</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十六、金融支出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48</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17</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十七、援助其他地区支出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49</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18</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十八、自然资源海洋气象等支出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50</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19</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十九、住房保障支出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51</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20</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二十、粮油物资储备支出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52</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21</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二十一、国有资本经营预算支出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53</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22</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二十二、灾害防治及应急管理支出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54</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23</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二十三、其他支出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55</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24</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二十四、债务还本支出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56</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25</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二十五、债务付息支出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57</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26</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二十六、抗疫特别国债安排的支出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58</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本年收入合计</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27</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1,545.85</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本年支出合计</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59</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1,545.85</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1,545.85</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年初财政拨款结转和结余</w:t>
            </w:r>
            <w:r>
              <w:rPr>
                <w:rFonts w:ascii="Times New Roman" w:hAnsi="Times New Roman" w:eastAsia="Times New Roman" w:cs="Times New Roman"/>
                <w:b w:val="0"/>
                <w:bCs w:val="0"/>
                <w:i w:val="0"/>
                <w:iCs w:val="0"/>
                <w:smallCaps w:val="0"/>
                <w:color w:val="000000"/>
                <w:kern w:val="0"/>
                <w:sz w:val="26"/>
                <w:szCs w:val="26"/>
              </w:rPr>
              <w:t xml:space="preserve"> </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28</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年末财政拨款结转和结余</w:t>
            </w:r>
            <w:r>
              <w:rPr>
                <w:rFonts w:ascii="Times New Roman" w:hAnsi="Times New Roman" w:eastAsia="Times New Roman" w:cs="Times New Roman"/>
                <w:b w:val="0"/>
                <w:bCs w:val="0"/>
                <w:i w:val="0"/>
                <w:iCs w:val="0"/>
                <w:smallCaps w:val="0"/>
                <w:color w:val="000000"/>
                <w:kern w:val="0"/>
                <w:sz w:val="26"/>
                <w:szCs w:val="26"/>
              </w:rPr>
              <w:t xml:space="preserve">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60</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一、一般公共预算财政拨款</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29</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61</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二、政府性基金预算财政拨款</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62</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三、国有资本经营预算财政拨款</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31</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63</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总计</w:t>
            </w:r>
            <w:r>
              <w:rPr>
                <w:rFonts w:ascii="Times New Roman" w:hAnsi="Times New Roman" w:eastAsia="Times New Roman" w:cs="Times New Roman"/>
                <w:b w:val="0"/>
                <w:bCs w:val="0"/>
                <w:i w:val="0"/>
                <w:iCs w:val="0"/>
                <w:smallCaps w:val="0"/>
                <w:color w:val="000000"/>
                <w:kern w:val="0"/>
                <w:sz w:val="26"/>
                <w:szCs w:val="26"/>
              </w:rPr>
              <w:t xml:space="preserve"> </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32</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1,545.85</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总计</w:t>
            </w:r>
            <w:r>
              <w:rPr>
                <w:rFonts w:ascii="Times New Roman" w:hAnsi="Times New Roman" w:eastAsia="Times New Roman" w:cs="Times New Roman"/>
                <w:b w:val="0"/>
                <w:bCs w:val="0"/>
                <w:i w:val="0"/>
                <w:iCs w:val="0"/>
                <w:smallCaps w:val="0"/>
                <w:color w:val="000000"/>
                <w:kern w:val="0"/>
                <w:sz w:val="26"/>
                <w:szCs w:val="26"/>
              </w:rPr>
              <w:t xml:space="preserve">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64</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1,545.85</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1,545.85</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bl>
    <w:p>
      <w:pPr>
        <w:widowControl/>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pPr>
        <w:pStyle w:val="23"/>
        <w:widowControl/>
        <w:pBdr>
          <w:left w:val="none" w:color="auto" w:sz="0" w:space="30"/>
        </w:pBdr>
        <w:spacing w:before="0" w:after="0"/>
        <w:ind w:left="600" w:right="0"/>
        <w:rPr>
          <w:rFonts w:eastAsia="Times New Roman"/>
          <w:kern w:val="0"/>
          <w:szCs w:val="21"/>
        </w:rPr>
      </w:pPr>
      <w:r>
        <w:rPr>
          <w:rFonts w:ascii="kai_ti_gb2312" w:hAnsi="kai_ti_gb2312" w:eastAsia="kai_ti_gb2312" w:cs="kai_ti_gb2312"/>
          <w:kern w:val="0"/>
          <w:sz w:val="26"/>
          <w:szCs w:val="26"/>
        </w:rPr>
        <w:t>注：本表反映本年度一般公共预算财政拨款、政府性基金预算财政拨款和国有资本经营预算财政拨款的总收支和年末结转结余情况。</w:t>
      </w:r>
    </w:p>
    <w:p>
      <w:pPr>
        <w:pStyle w:val="5"/>
        <w:spacing w:before="100" w:after="100" w:line="240" w:lineRule="auto"/>
        <w:ind w:left="0" w:right="0" w:firstLine="0" w:firstLineChars="0"/>
        <w:rPr>
          <w:rFonts w:ascii="Times New Roman" w:hAnsi="Times New Roman" w:eastAsia="Times New Roman" w:cs="Times New Roman"/>
          <w:b/>
          <w:bCs/>
          <w:kern w:val="0"/>
          <w:sz w:val="28"/>
          <w:szCs w:val="28"/>
        </w:rPr>
      </w:pPr>
      <w:bookmarkStart w:id="45" w:name="_Toc256000104"/>
      <w:bookmarkStart w:id="46" w:name="_Toc256000073"/>
      <w:bookmarkStart w:id="47" w:name="_Toc256000011"/>
      <w:bookmarkStart w:id="48" w:name="_Toc256000042"/>
      <w:r>
        <w:rPr>
          <w:rFonts w:ascii="黑体" w:hAnsi="黑体" w:eastAsia="黑体" w:cs="黑体"/>
          <w:b/>
          <w:spacing w:val="0"/>
        </w:rPr>
        <w:t>五、一般公共预算财政拨款支出决算表</w:t>
      </w:r>
      <w:bookmarkEnd w:id="45"/>
      <w:bookmarkEnd w:id="46"/>
      <w:bookmarkEnd w:id="47"/>
      <w:bookmarkEnd w:id="48"/>
    </w:p>
    <w:p>
      <w:pPr>
        <w:sectPr>
          <w:footerReference r:id="rId13" w:type="default"/>
          <w:pgSz w:w="16383" w:h="11906" w:orient="landscape"/>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tbl>
      <w:tblPr>
        <w:tblW w:w="1498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869"/>
        <w:gridCol w:w="2183"/>
        <w:gridCol w:w="2183"/>
        <w:gridCol w:w="2187"/>
        <w:gridCol w:w="2187"/>
        <w:gridCol w:w="2187"/>
        <w:gridCol w:w="21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Header/>
        </w:trPr>
        <w:tc>
          <w:tcPr>
            <w:tcW w:w="14983" w:type="dxa"/>
            <w:gridSpan w:val="7"/>
            <w:tcMar>
              <w:top w:w="20" w:type="dxa"/>
              <w:left w:w="20" w:type="dxa"/>
              <w:bottom w:w="20" w:type="dxa"/>
              <w:right w:w="20" w:type="dxa"/>
            </w:tcMar>
            <w:vAlign w:val="center"/>
          </w:tcPr>
          <w:p>
            <w:pPr>
              <w:widowControl/>
              <w:spacing w:line="900" w:lineRule="atLeast"/>
              <w:jc w:val="center"/>
              <w:rPr>
                <w:rFonts w:ascii="Times New Roman" w:hAnsi="Times New Roman" w:eastAsia="Times New Roman" w:cs="Times New Roman"/>
                <w:b w:val="0"/>
                <w:bCs w:val="0"/>
                <w:i w:val="0"/>
                <w:iCs w:val="0"/>
                <w:smallCaps w:val="0"/>
                <w:color w:val="000000"/>
                <w:kern w:val="0"/>
                <w:sz w:val="27"/>
                <w:szCs w:val="27"/>
              </w:rPr>
            </w:pPr>
            <w:r>
              <w:rPr>
                <w:rFonts w:ascii="宋体" w:hAnsi="宋体" w:eastAsia="宋体" w:cs="宋体"/>
                <w:b w:val="0"/>
                <w:bCs w:val="0"/>
                <w:i w:val="0"/>
                <w:iCs w:val="0"/>
                <w:smallCaps w:val="0"/>
                <w:color w:val="000000"/>
                <w:kern w:val="0"/>
                <w:sz w:val="27"/>
                <w:szCs w:val="27"/>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Header/>
        </w:trPr>
        <w:tc>
          <w:tcPr>
            <w:tcW w:w="1869"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83"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83"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87"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87"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87"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87" w:type="dxa"/>
            <w:tcMar>
              <w:top w:w="20" w:type="dxa"/>
              <w:left w:w="20" w:type="dxa"/>
              <w:bottom w:w="20" w:type="dxa"/>
              <w:right w:w="20"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0609" w:type="dxa"/>
            <w:gridSpan w:val="5"/>
            <w:tcMar>
              <w:top w:w="20" w:type="dxa"/>
              <w:left w:w="20" w:type="dxa"/>
              <w:bottom w:w="20" w:type="dxa"/>
              <w:right w:w="20"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部门</w:t>
            </w:r>
            <w:r>
              <w:rPr>
                <w:rFonts w:ascii="Times New Roman" w:hAnsi="Times New Roman" w:eastAsia="Times New Roman" w:cs="Times New Roman"/>
                <w:b w:val="0"/>
                <w:bCs w:val="0"/>
                <w:i w:val="0"/>
                <w:iCs w:val="0"/>
                <w:smallCaps w:val="0"/>
                <w:color w:val="000000"/>
                <w:kern w:val="0"/>
                <w:sz w:val="29"/>
                <w:szCs w:val="29"/>
              </w:rPr>
              <w:t>/</w:t>
            </w:r>
            <w:r>
              <w:rPr>
                <w:rFonts w:ascii="宋体" w:hAnsi="宋体" w:eastAsia="宋体" w:cs="宋体"/>
                <w:b w:val="0"/>
                <w:bCs w:val="0"/>
                <w:i w:val="0"/>
                <w:iCs w:val="0"/>
                <w:smallCaps w:val="0"/>
                <w:color w:val="000000"/>
                <w:kern w:val="0"/>
                <w:sz w:val="29"/>
                <w:szCs w:val="29"/>
              </w:rPr>
              <w:t>单位：厦门市思明区计划生育协会（本级）</w:t>
            </w:r>
          </w:p>
        </w:tc>
        <w:tc>
          <w:tcPr>
            <w:tcW w:w="2187" w:type="dxa"/>
            <w:tcMar>
              <w:top w:w="20" w:type="dxa"/>
              <w:left w:w="20" w:type="dxa"/>
              <w:bottom w:w="20" w:type="dxa"/>
              <w:right w:w="20"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2024</w:t>
            </w:r>
            <w:r>
              <w:rPr>
                <w:rFonts w:ascii="宋体" w:hAnsi="宋体" w:eastAsia="宋体" w:cs="宋体"/>
                <w:b w:val="0"/>
                <w:bCs w:val="0"/>
                <w:i w:val="0"/>
                <w:iCs w:val="0"/>
                <w:smallCaps w:val="0"/>
                <w:color w:val="000000"/>
                <w:kern w:val="0"/>
                <w:sz w:val="29"/>
                <w:szCs w:val="29"/>
              </w:rPr>
              <w:t>年度</w:t>
            </w:r>
          </w:p>
        </w:tc>
        <w:tc>
          <w:tcPr>
            <w:tcW w:w="2187" w:type="dxa"/>
            <w:tcMar>
              <w:top w:w="20" w:type="dxa"/>
              <w:left w:w="20" w:type="dxa"/>
              <w:bottom w:w="20" w:type="dxa"/>
              <w:right w:w="20"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422" w:type="dxa"/>
            <w:gridSpan w:val="4"/>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项目</w:t>
            </w:r>
          </w:p>
        </w:tc>
        <w:tc>
          <w:tcPr>
            <w:tcW w:w="6561"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Header/>
        </w:trPr>
        <w:tc>
          <w:tcPr>
            <w:tcW w:w="6235" w:type="dxa"/>
            <w:gridSpan w:val="3"/>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科目代码</w:t>
            </w:r>
          </w:p>
        </w:tc>
        <w:tc>
          <w:tcPr>
            <w:tcW w:w="2187"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科目名称</w:t>
            </w:r>
          </w:p>
        </w:tc>
        <w:tc>
          <w:tcPr>
            <w:tcW w:w="2187"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小计</w:t>
            </w:r>
          </w:p>
        </w:tc>
        <w:tc>
          <w:tcPr>
            <w:tcW w:w="2187"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基本支出</w:t>
            </w:r>
          </w:p>
        </w:tc>
        <w:tc>
          <w:tcPr>
            <w:tcW w:w="2187"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Header/>
        </w:trPr>
        <w:tc>
          <w:tcPr>
            <w:tcW w:w="6235" w:type="dxa"/>
            <w:gridSpan w:val="3"/>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218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218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218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218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Header/>
        </w:trPr>
        <w:tc>
          <w:tcPr>
            <w:tcW w:w="6235" w:type="dxa"/>
            <w:gridSpan w:val="3"/>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218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422" w:type="dxa"/>
            <w:gridSpan w:val="4"/>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合计</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1,545.85</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233.75</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235"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社会保障和就业支出</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44.94</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44.94</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235"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20805</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行政事业单位养老支出</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44.94</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44.94</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235"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2080501</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行政单位离退休</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23.57</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23.57</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235"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2080505</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机关事业单位基本养老保险缴费支出</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14.24</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14.24</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235"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2080506</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机关事业单位职业年金缴费支出</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7.12</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7.12</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235"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卫生健康支出</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1,500.91</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188.81</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235"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21001</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卫生健康管理事务</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179.59</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179.59</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235"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2100101</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行政运行</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179.59</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179.59</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235"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21007</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计划生育事务</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1,312.1</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235"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2100799</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其他计划生育事务支出</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1,312.1</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235"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21011</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行政事业单位医疗</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9.21</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9.21</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235"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2101101</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行政单位医疗</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6.1</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6.1</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235"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2101103</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公务员医疗补助</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3.12</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3.12</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bl>
    <w:p>
      <w:pPr>
        <w:widowControl/>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pPr>
        <w:pStyle w:val="24"/>
        <w:widowControl/>
        <w:pBdr>
          <w:left w:val="none" w:color="auto" w:sz="0" w:space="30"/>
        </w:pBdr>
        <w:spacing w:before="100" w:after="100"/>
        <w:ind w:left="600" w:right="0" w:firstLine="0"/>
        <w:jc w:val="left"/>
        <w:rPr>
          <w:rFonts w:ascii="Times New Roman" w:hAnsi="Times New Roman" w:eastAsia="Times New Roman" w:cs="Times New Roman"/>
          <w:kern w:val="0"/>
          <w:sz w:val="24"/>
        </w:rPr>
      </w:pPr>
      <w:r>
        <w:rPr>
          <w:rFonts w:ascii="kai_ti_gb2312" w:hAnsi="kai_ti_gb2312" w:eastAsia="kai_ti_gb2312" w:cs="kai_ti_gb2312"/>
          <w:kern w:val="0"/>
          <w:sz w:val="26"/>
          <w:szCs w:val="26"/>
        </w:rPr>
        <w:t>注：1.本表反映本年度一般公共预算财政拨款支出情况。</w:t>
      </w:r>
    </w:p>
    <w:p>
      <w:pPr>
        <w:pStyle w:val="5"/>
        <w:spacing w:before="100" w:after="100" w:line="240" w:lineRule="auto"/>
        <w:ind w:left="0" w:right="0" w:firstLine="0" w:firstLineChars="0"/>
        <w:rPr>
          <w:rFonts w:ascii="Times New Roman" w:hAnsi="Times New Roman" w:eastAsia="Times New Roman" w:cs="Times New Roman"/>
          <w:b/>
          <w:bCs/>
          <w:kern w:val="0"/>
          <w:sz w:val="28"/>
          <w:szCs w:val="28"/>
        </w:rPr>
      </w:pPr>
      <w:bookmarkStart w:id="49" w:name="_Toc256000043"/>
      <w:bookmarkStart w:id="50" w:name="_Toc256000012"/>
      <w:bookmarkStart w:id="51" w:name="_Toc256000105"/>
      <w:bookmarkStart w:id="52" w:name="_Toc256000074"/>
      <w:r>
        <w:rPr>
          <w:rFonts w:ascii="黑体" w:hAnsi="黑体" w:eastAsia="黑体" w:cs="黑体"/>
          <w:b/>
          <w:spacing w:val="0"/>
        </w:rPr>
        <w:t>六、一般公共预算财政拨款基本支出决算表</w:t>
      </w:r>
      <w:bookmarkEnd w:id="49"/>
      <w:bookmarkEnd w:id="50"/>
      <w:bookmarkEnd w:id="51"/>
      <w:bookmarkEnd w:id="52"/>
    </w:p>
    <w:p>
      <w:pPr>
        <w:sectPr>
          <w:footerReference r:id="rId14" w:type="default"/>
          <w:pgSz w:w="16383" w:h="11906" w:orient="landscape"/>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tbl>
      <w:tblPr>
        <w:tblW w:w="1498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664"/>
        <w:gridCol w:w="1664"/>
        <w:gridCol w:w="1665"/>
        <w:gridCol w:w="1665"/>
        <w:gridCol w:w="1665"/>
        <w:gridCol w:w="1665"/>
        <w:gridCol w:w="1665"/>
        <w:gridCol w:w="1665"/>
        <w:gridCol w:w="1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Header/>
        </w:trPr>
        <w:tc>
          <w:tcPr>
            <w:tcW w:w="14983" w:type="dxa"/>
            <w:gridSpan w:val="9"/>
            <w:tcMar>
              <w:top w:w="20" w:type="dxa"/>
              <w:left w:w="20" w:type="dxa"/>
              <w:bottom w:w="20" w:type="dxa"/>
              <w:right w:w="20" w:type="dxa"/>
            </w:tcMar>
            <w:vAlign w:val="center"/>
          </w:tcPr>
          <w:p>
            <w:pPr>
              <w:widowControl/>
              <w:spacing w:line="900" w:lineRule="atLeast"/>
              <w:jc w:val="center"/>
              <w:rPr>
                <w:rFonts w:ascii="Times New Roman" w:hAnsi="Times New Roman" w:eastAsia="Times New Roman" w:cs="Times New Roman"/>
                <w:b w:val="0"/>
                <w:bCs w:val="0"/>
                <w:i w:val="0"/>
                <w:iCs w:val="0"/>
                <w:smallCaps w:val="0"/>
                <w:color w:val="000000"/>
                <w:kern w:val="0"/>
                <w:sz w:val="27"/>
                <w:szCs w:val="27"/>
              </w:rPr>
            </w:pPr>
            <w:r>
              <w:rPr>
                <w:rFonts w:ascii="宋体" w:hAnsi="宋体" w:eastAsia="宋体" w:cs="宋体"/>
                <w:b w:val="0"/>
                <w:bCs w:val="0"/>
                <w:i w:val="0"/>
                <w:iCs w:val="0"/>
                <w:smallCaps w:val="0"/>
                <w:color w:val="000000"/>
                <w:kern w:val="0"/>
                <w:sz w:val="27"/>
                <w:szCs w:val="27"/>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Header/>
        </w:trPr>
        <w:tc>
          <w:tcPr>
            <w:tcW w:w="1664"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4"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Mar>
              <w:top w:w="20" w:type="dxa"/>
              <w:left w:w="20" w:type="dxa"/>
              <w:bottom w:w="20" w:type="dxa"/>
              <w:right w:w="20"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658" w:type="dxa"/>
            <w:gridSpan w:val="4"/>
            <w:tcMar>
              <w:top w:w="20" w:type="dxa"/>
              <w:left w:w="20" w:type="dxa"/>
              <w:bottom w:w="20" w:type="dxa"/>
              <w:right w:w="20"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部门</w:t>
            </w:r>
            <w:r>
              <w:rPr>
                <w:rFonts w:ascii="Times New Roman" w:hAnsi="Times New Roman" w:eastAsia="Times New Roman" w:cs="Times New Roman"/>
                <w:b w:val="0"/>
                <w:bCs w:val="0"/>
                <w:i w:val="0"/>
                <w:iCs w:val="0"/>
                <w:smallCaps w:val="0"/>
                <w:color w:val="000000"/>
                <w:kern w:val="0"/>
                <w:sz w:val="29"/>
                <w:szCs w:val="29"/>
              </w:rPr>
              <w:t>/</w:t>
            </w:r>
            <w:r>
              <w:rPr>
                <w:rFonts w:ascii="宋体" w:hAnsi="宋体" w:eastAsia="宋体" w:cs="宋体"/>
                <w:b w:val="0"/>
                <w:bCs w:val="0"/>
                <w:i w:val="0"/>
                <w:iCs w:val="0"/>
                <w:smallCaps w:val="0"/>
                <w:color w:val="000000"/>
                <w:kern w:val="0"/>
                <w:sz w:val="29"/>
                <w:szCs w:val="29"/>
              </w:rPr>
              <w:t>单位：厦门市思明区计划生育协会（本级）</w:t>
            </w:r>
          </w:p>
        </w:tc>
        <w:tc>
          <w:tcPr>
            <w:tcW w:w="1665" w:type="dxa"/>
            <w:tcMar>
              <w:top w:w="20" w:type="dxa"/>
              <w:left w:w="20" w:type="dxa"/>
              <w:bottom w:w="20" w:type="dxa"/>
              <w:right w:w="20"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2024</w:t>
            </w:r>
            <w:r>
              <w:rPr>
                <w:rFonts w:ascii="宋体" w:hAnsi="宋体" w:eastAsia="宋体" w:cs="宋体"/>
                <w:b w:val="0"/>
                <w:bCs w:val="0"/>
                <w:i w:val="0"/>
                <w:iCs w:val="0"/>
                <w:smallCaps w:val="0"/>
                <w:color w:val="000000"/>
                <w:kern w:val="0"/>
                <w:sz w:val="29"/>
                <w:szCs w:val="29"/>
              </w:rPr>
              <w:t>年度</w:t>
            </w:r>
          </w:p>
        </w:tc>
        <w:tc>
          <w:tcPr>
            <w:tcW w:w="166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Mar>
              <w:top w:w="20" w:type="dxa"/>
              <w:left w:w="20" w:type="dxa"/>
              <w:bottom w:w="20" w:type="dxa"/>
              <w:right w:w="20"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Header/>
        </w:trPr>
        <w:tc>
          <w:tcPr>
            <w:tcW w:w="1664"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经济分类科目编码</w:t>
            </w:r>
          </w:p>
        </w:tc>
        <w:tc>
          <w:tcPr>
            <w:tcW w:w="1664"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科目名称</w:t>
            </w:r>
          </w:p>
        </w:tc>
        <w:tc>
          <w:tcPr>
            <w:tcW w:w="1665"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金额</w:t>
            </w:r>
          </w:p>
        </w:tc>
        <w:tc>
          <w:tcPr>
            <w:tcW w:w="1665"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经济分类科目编码</w:t>
            </w:r>
          </w:p>
        </w:tc>
        <w:tc>
          <w:tcPr>
            <w:tcW w:w="1665"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科目名称</w:t>
            </w:r>
          </w:p>
        </w:tc>
        <w:tc>
          <w:tcPr>
            <w:tcW w:w="1665"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金额</w:t>
            </w:r>
          </w:p>
        </w:tc>
        <w:tc>
          <w:tcPr>
            <w:tcW w:w="1665"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经济分类科目编码</w:t>
            </w:r>
          </w:p>
        </w:tc>
        <w:tc>
          <w:tcPr>
            <w:tcW w:w="1665"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科目名称</w:t>
            </w:r>
          </w:p>
        </w:tc>
        <w:tc>
          <w:tcPr>
            <w:tcW w:w="1665"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Header/>
        </w:trPr>
        <w:tc>
          <w:tcPr>
            <w:tcW w:w="166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66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66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66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66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66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66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66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66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工资福利支出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168.98</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商品和服务支出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37.47</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30703</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国内债务发行费用</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30101</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基本工资</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25.63</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30201</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办公费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2.44</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30704</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国外债务发行费用</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30102</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津贴补贴</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53.73</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30202</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印刷费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资本性支出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30103</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奖金</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42.81</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30203</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咨询费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31001</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房屋建筑物购建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30106</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伙食补助费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30204</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手续费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31002</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办公设备购置</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30107</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绩效工资</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30205</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水费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31003</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专用设备购置</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30108</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机关事业单位基本养老保险缴费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14.24</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30206</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电费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31005</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基础设施建设</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30109</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职业年金缴费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7.12</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30207</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邮电费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31006</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大型修缮</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30110</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职工基本医疗保险缴费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6.1</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30208</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取暖费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31007</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信息网络及软件购置更新</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30111</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公务员医疗补助缴费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3.12</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30209</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物业管理费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31008</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物资储备</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30112</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其他社会保障缴费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0.46</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30211</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差旅费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0.33</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31009</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土地补偿</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30113</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住房公积金</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15.77</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30212</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因公出国（境）费用</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31010</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安置补助</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30114</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医疗费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30213</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维修（护）费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0.02</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31011</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地上附着物和青苗补偿</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30199</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其他工资福利支出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30214</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租赁费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31012</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拆迁补偿</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对个人和家庭的补助</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23.57</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30215</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会议费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31013</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公务用车购置</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30301</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离休费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30216</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培训费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31019</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其他交通工具购置</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30302</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退休费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30217</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公务接待费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31021</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文物和陈列品购置</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30303</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退职（役）费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30218</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专用材料费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31022</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无形资产购置</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30304</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抚恤金</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30224</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被装购置费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31099</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其他资本性支出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30305</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生活补助</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30225</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专用燃料费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312</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对企业补助</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30306</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救济费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30226</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劳务费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25.81</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31201</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资本金注入</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30307</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医疗费补助</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30227</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委托业务费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31203</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政府投资基金股权投资</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30308</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助学金</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30228</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工会经费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4.11</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31204</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费用补贴</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30309</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奖励金</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30229</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福利费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0.21</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31205</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利息补贴</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30310</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个人农业生产补贴</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30231</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公务用车运行维护费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31206</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其他资本性补助</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30311</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代缴社会保险费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30239</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其他交通费用</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4.52</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31299</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其他对企业补助</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30399</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其他对个人和家庭的补助</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23.57</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30240</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税金及附加费用</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399</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30299</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其他商品和服务支出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0.03</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39907</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国家赔偿费用支出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307</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债务利息及费用支出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39908</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对民间非营利组织和群众性自治组织补贴</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30701</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国内债务付息</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39909</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经常性赠与</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30702</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国外债务付息</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39910</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资本性赠与</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39999</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328" w:type="dxa"/>
            <w:gridSpan w:val="2"/>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人员经费合计</w:t>
            </w:r>
            <w:r>
              <w:rPr>
                <w:rFonts w:ascii="Times New Roman" w:hAnsi="Times New Roman" w:eastAsia="Times New Roman" w:cs="Times New Roman"/>
                <w:b w:val="0"/>
                <w:bCs w:val="0"/>
                <w:i w:val="0"/>
                <w:iCs w:val="0"/>
                <w:smallCaps w:val="0"/>
                <w:color w:val="000000"/>
                <w:kern w:val="0"/>
                <w:sz w:val="26"/>
                <w:szCs w:val="26"/>
              </w:rPr>
              <w:t xml:space="preserve">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192.55</w:t>
            </w:r>
          </w:p>
        </w:tc>
        <w:tc>
          <w:tcPr>
            <w:tcW w:w="8325" w:type="dxa"/>
            <w:gridSpan w:val="5"/>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公用经费合计</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41.2</w:t>
            </w:r>
          </w:p>
        </w:tc>
      </w:tr>
    </w:tbl>
    <w:p>
      <w:pPr>
        <w:widowControl/>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pPr>
        <w:pStyle w:val="23"/>
        <w:widowControl/>
        <w:pBdr>
          <w:left w:val="none" w:color="auto" w:sz="0" w:space="30"/>
        </w:pBdr>
        <w:spacing w:before="0" w:after="0"/>
        <w:ind w:left="600" w:right="0"/>
        <w:rPr>
          <w:rFonts w:eastAsia="Times New Roman"/>
          <w:kern w:val="0"/>
          <w:szCs w:val="21"/>
        </w:rPr>
      </w:pPr>
      <w:r>
        <w:rPr>
          <w:rFonts w:ascii="kai_ti_gb2312" w:hAnsi="kai_ti_gb2312" w:eastAsia="kai_ti_gb2312" w:cs="kai_ti_gb2312"/>
          <w:kern w:val="0"/>
          <w:sz w:val="26"/>
          <w:szCs w:val="26"/>
        </w:rPr>
        <w:t>注：本表反映本年度一般公共预算财政拨款基本支出明细情况。</w:t>
      </w:r>
    </w:p>
    <w:p>
      <w:pPr>
        <w:pStyle w:val="5"/>
        <w:spacing w:before="100" w:after="100" w:line="240" w:lineRule="auto"/>
        <w:ind w:left="0" w:right="0" w:firstLine="0" w:firstLineChars="0"/>
        <w:rPr>
          <w:rFonts w:ascii="Times New Roman" w:hAnsi="Times New Roman" w:eastAsia="Times New Roman" w:cs="Times New Roman"/>
          <w:b/>
          <w:bCs/>
          <w:kern w:val="0"/>
          <w:sz w:val="28"/>
          <w:szCs w:val="28"/>
        </w:rPr>
      </w:pPr>
      <w:bookmarkStart w:id="53" w:name="_Toc256000106"/>
      <w:bookmarkStart w:id="54" w:name="_Toc256000075"/>
      <w:bookmarkStart w:id="55" w:name="_Toc256000013"/>
      <w:bookmarkStart w:id="56" w:name="_Toc256000044"/>
      <w:r>
        <w:rPr>
          <w:rFonts w:ascii="黑体" w:hAnsi="黑体" w:eastAsia="黑体" w:cs="黑体"/>
          <w:b/>
          <w:spacing w:val="0"/>
        </w:rPr>
        <w:t>七、一般公共预算财政拨款“三公”经费支出决算表</w:t>
      </w:r>
      <w:bookmarkEnd w:id="53"/>
      <w:bookmarkEnd w:id="54"/>
      <w:bookmarkEnd w:id="55"/>
      <w:bookmarkEnd w:id="56"/>
    </w:p>
    <w:p>
      <w:pPr>
        <w:sectPr>
          <w:footerReference r:id="rId15" w:type="default"/>
          <w:pgSz w:w="16383" w:h="11906" w:orient="landscape"/>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tbl>
      <w:tblPr>
        <w:tblW w:w="1498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48"/>
        <w:gridCol w:w="1248"/>
        <w:gridCol w:w="1248"/>
        <w:gridCol w:w="1248"/>
        <w:gridCol w:w="1248"/>
        <w:gridCol w:w="1249"/>
        <w:gridCol w:w="1249"/>
        <w:gridCol w:w="1249"/>
        <w:gridCol w:w="1249"/>
        <w:gridCol w:w="1249"/>
        <w:gridCol w:w="1249"/>
        <w:gridCol w:w="12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Header/>
        </w:trPr>
        <w:tc>
          <w:tcPr>
            <w:tcW w:w="14983" w:type="dxa"/>
            <w:gridSpan w:val="12"/>
            <w:tcMar>
              <w:top w:w="20" w:type="dxa"/>
              <w:left w:w="20" w:type="dxa"/>
              <w:bottom w:w="20" w:type="dxa"/>
              <w:right w:w="20" w:type="dxa"/>
            </w:tcMar>
            <w:vAlign w:val="center"/>
          </w:tcPr>
          <w:p>
            <w:pPr>
              <w:widowControl/>
              <w:spacing w:line="900" w:lineRule="atLeast"/>
              <w:jc w:val="center"/>
              <w:rPr>
                <w:rFonts w:ascii="Times New Roman" w:hAnsi="Times New Roman" w:eastAsia="Times New Roman" w:cs="Times New Roman"/>
                <w:b w:val="0"/>
                <w:bCs w:val="0"/>
                <w:i w:val="0"/>
                <w:iCs w:val="0"/>
                <w:smallCaps w:val="0"/>
                <w:color w:val="000000"/>
                <w:kern w:val="0"/>
                <w:sz w:val="27"/>
                <w:szCs w:val="27"/>
              </w:rPr>
            </w:pPr>
            <w:r>
              <w:rPr>
                <w:rFonts w:ascii="宋体" w:hAnsi="宋体" w:eastAsia="宋体" w:cs="宋体"/>
                <w:b w:val="0"/>
                <w:bCs w:val="0"/>
                <w:i w:val="0"/>
                <w:iCs w:val="0"/>
                <w:smallCaps w:val="0"/>
                <w:color w:val="000000"/>
                <w:kern w:val="0"/>
                <w:sz w:val="27"/>
                <w:szCs w:val="27"/>
              </w:rPr>
              <w:t>一般公共预算财政拨款</w:t>
            </w:r>
            <w:r>
              <w:rPr>
                <w:rFonts w:ascii="Times New Roman" w:hAnsi="Times New Roman" w:eastAsia="Times New Roman" w:cs="Times New Roman"/>
                <w:b w:val="0"/>
                <w:bCs w:val="0"/>
                <w:i w:val="0"/>
                <w:iCs w:val="0"/>
                <w:smallCaps w:val="0"/>
                <w:color w:val="000000"/>
                <w:kern w:val="0"/>
                <w:sz w:val="27"/>
                <w:szCs w:val="27"/>
              </w:rPr>
              <w:t>“</w:t>
            </w:r>
            <w:r>
              <w:rPr>
                <w:rFonts w:ascii="宋体" w:hAnsi="宋体" w:eastAsia="宋体" w:cs="宋体"/>
                <w:b w:val="0"/>
                <w:bCs w:val="0"/>
                <w:i w:val="0"/>
                <w:iCs w:val="0"/>
                <w:smallCaps w:val="0"/>
                <w:color w:val="000000"/>
                <w:kern w:val="0"/>
                <w:sz w:val="27"/>
                <w:szCs w:val="27"/>
              </w:rPr>
              <w:t>三公</w:t>
            </w:r>
            <w:r>
              <w:rPr>
                <w:rFonts w:ascii="Times New Roman" w:hAnsi="Times New Roman" w:eastAsia="Times New Roman" w:cs="Times New Roman"/>
                <w:b w:val="0"/>
                <w:bCs w:val="0"/>
                <w:i w:val="0"/>
                <w:iCs w:val="0"/>
                <w:smallCaps w:val="0"/>
                <w:color w:val="000000"/>
                <w:kern w:val="0"/>
                <w:sz w:val="27"/>
                <w:szCs w:val="27"/>
              </w:rPr>
              <w:t>”</w:t>
            </w:r>
            <w:r>
              <w:rPr>
                <w:rFonts w:ascii="宋体" w:hAnsi="宋体" w:eastAsia="宋体" w:cs="宋体"/>
                <w:b w:val="0"/>
                <w:bCs w:val="0"/>
                <w:i w:val="0"/>
                <w:iCs w:val="0"/>
                <w:smallCaps w:val="0"/>
                <w:color w:val="000000"/>
                <w:kern w:val="0"/>
                <w:sz w:val="27"/>
                <w:szCs w:val="27"/>
              </w:rPr>
              <w:t>经费支出决算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Header/>
        </w:trPr>
        <w:tc>
          <w:tcPr>
            <w:tcW w:w="1248"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8"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8"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8"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8"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9"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9"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9"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9"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9"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9"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9" w:type="dxa"/>
            <w:tcMar>
              <w:top w:w="20" w:type="dxa"/>
              <w:left w:w="20" w:type="dxa"/>
              <w:bottom w:w="20" w:type="dxa"/>
              <w:right w:w="20"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489" w:type="dxa"/>
            <w:gridSpan w:val="6"/>
            <w:tcMar>
              <w:top w:w="20" w:type="dxa"/>
              <w:left w:w="20" w:type="dxa"/>
              <w:bottom w:w="20" w:type="dxa"/>
              <w:right w:w="20"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部门</w:t>
            </w:r>
            <w:r>
              <w:rPr>
                <w:rFonts w:ascii="Times New Roman" w:hAnsi="Times New Roman" w:eastAsia="Times New Roman" w:cs="Times New Roman"/>
                <w:b w:val="0"/>
                <w:bCs w:val="0"/>
                <w:i w:val="0"/>
                <w:iCs w:val="0"/>
                <w:smallCaps w:val="0"/>
                <w:color w:val="000000"/>
                <w:kern w:val="0"/>
                <w:sz w:val="29"/>
                <w:szCs w:val="29"/>
              </w:rPr>
              <w:t>/</w:t>
            </w:r>
            <w:r>
              <w:rPr>
                <w:rFonts w:ascii="宋体" w:hAnsi="宋体" w:eastAsia="宋体" w:cs="宋体"/>
                <w:b w:val="0"/>
                <w:bCs w:val="0"/>
                <w:i w:val="0"/>
                <w:iCs w:val="0"/>
                <w:smallCaps w:val="0"/>
                <w:color w:val="000000"/>
                <w:kern w:val="0"/>
                <w:sz w:val="29"/>
                <w:szCs w:val="29"/>
              </w:rPr>
              <w:t>单位：厦门市思明区计划生育协会（本级）</w:t>
            </w:r>
          </w:p>
        </w:tc>
        <w:tc>
          <w:tcPr>
            <w:tcW w:w="1249" w:type="dxa"/>
            <w:tcMar>
              <w:top w:w="20" w:type="dxa"/>
              <w:left w:w="20" w:type="dxa"/>
              <w:bottom w:w="20" w:type="dxa"/>
              <w:right w:w="20"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2024</w:t>
            </w:r>
            <w:r>
              <w:rPr>
                <w:rFonts w:ascii="宋体" w:hAnsi="宋体" w:eastAsia="宋体" w:cs="宋体"/>
                <w:b w:val="0"/>
                <w:bCs w:val="0"/>
                <w:i w:val="0"/>
                <w:iCs w:val="0"/>
                <w:smallCaps w:val="0"/>
                <w:color w:val="000000"/>
                <w:kern w:val="0"/>
                <w:sz w:val="29"/>
                <w:szCs w:val="29"/>
              </w:rPr>
              <w:t>年度</w:t>
            </w:r>
          </w:p>
        </w:tc>
        <w:tc>
          <w:tcPr>
            <w:tcW w:w="1249"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9"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9"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9"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9" w:type="dxa"/>
            <w:tcMar>
              <w:top w:w="20" w:type="dxa"/>
              <w:left w:w="20" w:type="dxa"/>
              <w:bottom w:w="20" w:type="dxa"/>
              <w:right w:w="20"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489" w:type="dxa"/>
            <w:gridSpan w:val="6"/>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预算数</w:t>
            </w:r>
          </w:p>
        </w:tc>
        <w:tc>
          <w:tcPr>
            <w:tcW w:w="7494" w:type="dxa"/>
            <w:gridSpan w:val="6"/>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Header/>
        </w:trPr>
        <w:tc>
          <w:tcPr>
            <w:tcW w:w="1248"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合计</w:t>
            </w:r>
          </w:p>
        </w:tc>
        <w:tc>
          <w:tcPr>
            <w:tcW w:w="1248"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因公出国</w:t>
            </w:r>
            <w:r>
              <w:rPr>
                <w:rFonts w:ascii="Times New Roman" w:hAnsi="Times New Roman" w:eastAsia="Times New Roman" w:cs="Times New Roman"/>
                <w:b w:val="0"/>
                <w:bCs w:val="0"/>
                <w:i w:val="0"/>
                <w:iCs w:val="0"/>
                <w:smallCaps w:val="0"/>
                <w:color w:val="000000"/>
                <w:kern w:val="0"/>
                <w:sz w:val="26"/>
                <w:szCs w:val="26"/>
              </w:rPr>
              <w:t xml:space="preserve"> </w:t>
            </w:r>
            <w:r>
              <w:rPr>
                <w:rFonts w:ascii="宋体" w:hAnsi="宋体" w:eastAsia="宋体" w:cs="宋体"/>
                <w:b w:val="0"/>
                <w:bCs w:val="0"/>
                <w:i w:val="0"/>
                <w:iCs w:val="0"/>
                <w:smallCaps w:val="0"/>
                <w:color w:val="000000"/>
                <w:kern w:val="0"/>
                <w:sz w:val="26"/>
                <w:szCs w:val="26"/>
              </w:rPr>
              <w:t>（境）费</w:t>
            </w:r>
          </w:p>
        </w:tc>
        <w:tc>
          <w:tcPr>
            <w:tcW w:w="3744"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公务用车购置及运行维护费</w:t>
            </w:r>
          </w:p>
        </w:tc>
        <w:tc>
          <w:tcPr>
            <w:tcW w:w="1249"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公务接待费</w:t>
            </w:r>
          </w:p>
        </w:tc>
        <w:tc>
          <w:tcPr>
            <w:tcW w:w="1249"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合计</w:t>
            </w:r>
          </w:p>
        </w:tc>
        <w:tc>
          <w:tcPr>
            <w:tcW w:w="1249"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因公出国</w:t>
            </w:r>
            <w:r>
              <w:rPr>
                <w:rFonts w:ascii="Times New Roman" w:hAnsi="Times New Roman" w:eastAsia="Times New Roman" w:cs="Times New Roman"/>
                <w:b w:val="0"/>
                <w:bCs w:val="0"/>
                <w:i w:val="0"/>
                <w:iCs w:val="0"/>
                <w:smallCaps w:val="0"/>
                <w:color w:val="000000"/>
                <w:kern w:val="0"/>
                <w:sz w:val="26"/>
                <w:szCs w:val="26"/>
              </w:rPr>
              <w:t xml:space="preserve"> </w:t>
            </w:r>
            <w:r>
              <w:rPr>
                <w:rFonts w:ascii="宋体" w:hAnsi="宋体" w:eastAsia="宋体" w:cs="宋体"/>
                <w:b w:val="0"/>
                <w:bCs w:val="0"/>
                <w:i w:val="0"/>
                <w:iCs w:val="0"/>
                <w:smallCaps w:val="0"/>
                <w:color w:val="000000"/>
                <w:kern w:val="0"/>
                <w:sz w:val="26"/>
                <w:szCs w:val="26"/>
              </w:rPr>
              <w:t>（境）费</w:t>
            </w:r>
          </w:p>
        </w:tc>
        <w:tc>
          <w:tcPr>
            <w:tcW w:w="3747"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公务用车购置及运行维护费</w:t>
            </w:r>
          </w:p>
        </w:tc>
        <w:tc>
          <w:tcPr>
            <w:tcW w:w="1249"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Header/>
        </w:trPr>
        <w:tc>
          <w:tcPr>
            <w:tcW w:w="124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24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248"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小计</w:t>
            </w:r>
            <w:r>
              <w:rPr>
                <w:rFonts w:ascii="Times New Roman" w:hAnsi="Times New Roman" w:eastAsia="Times New Roman" w:cs="Times New Roman"/>
                <w:b w:val="0"/>
                <w:bCs w:val="0"/>
                <w:i w:val="0"/>
                <w:iCs w:val="0"/>
                <w:smallCaps w:val="0"/>
                <w:color w:val="000000"/>
                <w:kern w:val="0"/>
                <w:sz w:val="26"/>
                <w:szCs w:val="26"/>
              </w:rPr>
              <w:t xml:space="preserve"> </w:t>
            </w:r>
          </w:p>
        </w:tc>
        <w:tc>
          <w:tcPr>
            <w:tcW w:w="1248"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公务用车购置费</w:t>
            </w:r>
          </w:p>
        </w:tc>
        <w:tc>
          <w:tcPr>
            <w:tcW w:w="1248"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公务用车运行维护费</w:t>
            </w:r>
          </w:p>
        </w:tc>
        <w:tc>
          <w:tcPr>
            <w:tcW w:w="1249"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249"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249"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249"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小计</w:t>
            </w:r>
            <w:r>
              <w:rPr>
                <w:rFonts w:ascii="Times New Roman" w:hAnsi="Times New Roman" w:eastAsia="Times New Roman" w:cs="Times New Roman"/>
                <w:b w:val="0"/>
                <w:bCs w:val="0"/>
                <w:i w:val="0"/>
                <w:iCs w:val="0"/>
                <w:smallCaps w:val="0"/>
                <w:color w:val="000000"/>
                <w:kern w:val="0"/>
                <w:sz w:val="26"/>
                <w:szCs w:val="26"/>
              </w:rPr>
              <w:t xml:space="preserve"> </w:t>
            </w:r>
          </w:p>
        </w:tc>
        <w:tc>
          <w:tcPr>
            <w:tcW w:w="1249"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公务用车购置费</w:t>
            </w:r>
          </w:p>
        </w:tc>
        <w:tc>
          <w:tcPr>
            <w:tcW w:w="1249"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公务用车运行维护费</w:t>
            </w:r>
          </w:p>
        </w:tc>
        <w:tc>
          <w:tcPr>
            <w:tcW w:w="1249"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Header/>
        </w:trPr>
        <w:tc>
          <w:tcPr>
            <w:tcW w:w="124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24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24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24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24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249"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249"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249"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249"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249"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249"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249"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24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w:t>
            </w:r>
          </w:p>
        </w:tc>
        <w:tc>
          <w:tcPr>
            <w:tcW w:w="124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w:t>
            </w:r>
          </w:p>
        </w:tc>
        <w:tc>
          <w:tcPr>
            <w:tcW w:w="124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w:t>
            </w:r>
          </w:p>
        </w:tc>
        <w:tc>
          <w:tcPr>
            <w:tcW w:w="124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w:t>
            </w:r>
          </w:p>
        </w:tc>
        <w:tc>
          <w:tcPr>
            <w:tcW w:w="124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w:t>
            </w:r>
          </w:p>
        </w:tc>
        <w:tc>
          <w:tcPr>
            <w:tcW w:w="1249"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w:t>
            </w:r>
          </w:p>
        </w:tc>
        <w:tc>
          <w:tcPr>
            <w:tcW w:w="1249"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w:t>
            </w:r>
          </w:p>
        </w:tc>
        <w:tc>
          <w:tcPr>
            <w:tcW w:w="1249"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8</w:t>
            </w:r>
          </w:p>
        </w:tc>
        <w:tc>
          <w:tcPr>
            <w:tcW w:w="1249"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9</w:t>
            </w:r>
          </w:p>
        </w:tc>
        <w:tc>
          <w:tcPr>
            <w:tcW w:w="1249"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10</w:t>
            </w:r>
          </w:p>
        </w:tc>
        <w:tc>
          <w:tcPr>
            <w:tcW w:w="1249"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11</w:t>
            </w:r>
          </w:p>
        </w:tc>
        <w:tc>
          <w:tcPr>
            <w:tcW w:w="1249"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24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9"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9"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9"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9"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9"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9"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9"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bl>
    <w:p>
      <w:pPr>
        <w:widowControl/>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pPr>
        <w:pStyle w:val="23"/>
        <w:widowControl/>
        <w:pBdr>
          <w:left w:val="none" w:color="auto" w:sz="0" w:space="30"/>
        </w:pBdr>
        <w:spacing w:before="0" w:after="0"/>
        <w:ind w:left="600" w:right="0"/>
        <w:jc w:val="left"/>
        <w:rPr>
          <w:rFonts w:eastAsia="Times New Roman"/>
          <w:kern w:val="0"/>
          <w:szCs w:val="21"/>
        </w:rPr>
      </w:pPr>
      <w:r>
        <w:rPr>
          <w:rFonts w:ascii="kai_ti_gb2312" w:hAnsi="kai_ti_gb2312" w:eastAsia="kai_ti_gb2312" w:cs="kai_ti_gb2312"/>
          <w:kern w:val="0"/>
          <w:sz w:val="26"/>
          <w:szCs w:val="26"/>
        </w:rPr>
        <w:t>注：本表反映本年度财政拨款“三公”经费支出预决算情况。其中，预算数为“三公”经费全年预算数，反映按规定程序调整后的预算数；决算数是包括当年财政拨款和以前年度结转资金安排的实际支出。</w:t>
      </w:r>
    </w:p>
    <w:p>
      <w:pPr>
        <w:pStyle w:val="5"/>
        <w:spacing w:before="100" w:after="100" w:line="240" w:lineRule="auto"/>
        <w:ind w:left="0" w:right="0" w:firstLine="0" w:firstLineChars="0"/>
        <w:rPr>
          <w:rFonts w:ascii="Times New Roman" w:hAnsi="Times New Roman" w:eastAsia="Times New Roman" w:cs="Times New Roman"/>
          <w:b/>
          <w:bCs/>
          <w:kern w:val="0"/>
          <w:sz w:val="28"/>
          <w:szCs w:val="28"/>
        </w:rPr>
      </w:pPr>
      <w:bookmarkStart w:id="57" w:name="_Toc256000076"/>
      <w:bookmarkStart w:id="58" w:name="_Toc256000014"/>
      <w:bookmarkStart w:id="59" w:name="_Toc256000045"/>
      <w:bookmarkStart w:id="60" w:name="_Toc256000107"/>
      <w:r>
        <w:rPr>
          <w:rFonts w:ascii="黑体" w:hAnsi="黑体" w:eastAsia="黑体" w:cs="黑体"/>
          <w:b/>
          <w:spacing w:val="0"/>
        </w:rPr>
        <w:t>八、政府性基金预算财政拨款收入支出决算表</w:t>
      </w:r>
      <w:bookmarkEnd w:id="57"/>
      <w:bookmarkEnd w:id="58"/>
      <w:bookmarkEnd w:id="59"/>
      <w:bookmarkEnd w:id="60"/>
    </w:p>
    <w:p>
      <w:pPr>
        <w:sectPr>
          <w:footerReference r:id="rId16" w:type="default"/>
          <w:pgSz w:w="16383" w:h="11906" w:orient="landscape"/>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tbl>
      <w:tblPr>
        <w:tblW w:w="128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602"/>
        <w:gridCol w:w="1603"/>
        <w:gridCol w:w="1603"/>
        <w:gridCol w:w="1603"/>
        <w:gridCol w:w="1603"/>
        <w:gridCol w:w="1603"/>
        <w:gridCol w:w="1603"/>
        <w:gridCol w:w="1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Header/>
        </w:trPr>
        <w:tc>
          <w:tcPr>
            <w:tcW w:w="12823" w:type="dxa"/>
            <w:gridSpan w:val="8"/>
            <w:tcMar>
              <w:top w:w="20" w:type="dxa"/>
              <w:left w:w="20" w:type="dxa"/>
              <w:bottom w:w="20" w:type="dxa"/>
              <w:right w:w="20" w:type="dxa"/>
            </w:tcMar>
            <w:vAlign w:val="center"/>
          </w:tcPr>
          <w:p>
            <w:pPr>
              <w:widowControl/>
              <w:spacing w:line="900" w:lineRule="atLeast"/>
              <w:jc w:val="center"/>
              <w:rPr>
                <w:rFonts w:ascii="Times New Roman" w:hAnsi="Times New Roman" w:eastAsia="Times New Roman" w:cs="Times New Roman"/>
                <w:b w:val="0"/>
                <w:bCs w:val="0"/>
                <w:i w:val="0"/>
                <w:iCs w:val="0"/>
                <w:smallCaps w:val="0"/>
                <w:color w:val="000000"/>
                <w:kern w:val="0"/>
                <w:sz w:val="27"/>
                <w:szCs w:val="27"/>
              </w:rPr>
            </w:pPr>
            <w:r>
              <w:rPr>
                <w:rFonts w:ascii="宋体" w:hAnsi="宋体" w:eastAsia="宋体" w:cs="宋体"/>
                <w:b w:val="0"/>
                <w:bCs w:val="0"/>
                <w:i w:val="0"/>
                <w:iCs w:val="0"/>
                <w:smallCaps w:val="0"/>
                <w:color w:val="000000"/>
                <w:kern w:val="0"/>
                <w:sz w:val="27"/>
                <w:szCs w:val="27"/>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Header/>
        </w:trPr>
        <w:tc>
          <w:tcPr>
            <w:tcW w:w="1602"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03"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03"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03"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03"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03"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03"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03" w:type="dxa"/>
            <w:tcMar>
              <w:top w:w="20" w:type="dxa"/>
              <w:left w:w="20" w:type="dxa"/>
              <w:bottom w:w="20" w:type="dxa"/>
              <w:right w:w="20"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411" w:type="dxa"/>
            <w:gridSpan w:val="4"/>
            <w:tcMar>
              <w:top w:w="20" w:type="dxa"/>
              <w:left w:w="20" w:type="dxa"/>
              <w:bottom w:w="20" w:type="dxa"/>
              <w:right w:w="20"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部门</w:t>
            </w:r>
            <w:r>
              <w:rPr>
                <w:rFonts w:ascii="Times New Roman" w:hAnsi="Times New Roman" w:eastAsia="Times New Roman" w:cs="Times New Roman"/>
                <w:b w:val="0"/>
                <w:bCs w:val="0"/>
                <w:i w:val="0"/>
                <w:iCs w:val="0"/>
                <w:smallCaps w:val="0"/>
                <w:color w:val="000000"/>
                <w:kern w:val="0"/>
                <w:sz w:val="29"/>
                <w:szCs w:val="29"/>
              </w:rPr>
              <w:t>/</w:t>
            </w:r>
            <w:r>
              <w:rPr>
                <w:rFonts w:ascii="宋体" w:hAnsi="宋体" w:eastAsia="宋体" w:cs="宋体"/>
                <w:b w:val="0"/>
                <w:bCs w:val="0"/>
                <w:i w:val="0"/>
                <w:iCs w:val="0"/>
                <w:smallCaps w:val="0"/>
                <w:color w:val="000000"/>
                <w:kern w:val="0"/>
                <w:sz w:val="29"/>
                <w:szCs w:val="29"/>
              </w:rPr>
              <w:t>单位：厦门市思明区计划生育协会（本级）</w:t>
            </w:r>
          </w:p>
        </w:tc>
        <w:tc>
          <w:tcPr>
            <w:tcW w:w="1603" w:type="dxa"/>
            <w:tcMar>
              <w:top w:w="20" w:type="dxa"/>
              <w:left w:w="20" w:type="dxa"/>
              <w:bottom w:w="20" w:type="dxa"/>
              <w:right w:w="20"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2024</w:t>
            </w:r>
            <w:r>
              <w:rPr>
                <w:rFonts w:ascii="宋体" w:hAnsi="宋体" w:eastAsia="宋体" w:cs="宋体"/>
                <w:b w:val="0"/>
                <w:bCs w:val="0"/>
                <w:i w:val="0"/>
                <w:iCs w:val="0"/>
                <w:smallCaps w:val="0"/>
                <w:color w:val="000000"/>
                <w:kern w:val="0"/>
                <w:sz w:val="29"/>
                <w:szCs w:val="29"/>
              </w:rPr>
              <w:t>年度</w:t>
            </w:r>
          </w:p>
        </w:tc>
        <w:tc>
          <w:tcPr>
            <w:tcW w:w="1603"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03"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03" w:type="dxa"/>
            <w:tcMar>
              <w:top w:w="20" w:type="dxa"/>
              <w:left w:w="20" w:type="dxa"/>
              <w:bottom w:w="20" w:type="dxa"/>
              <w:right w:w="20"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Header/>
        </w:trPr>
        <w:tc>
          <w:tcPr>
            <w:tcW w:w="3205" w:type="dxa"/>
            <w:gridSpan w:val="2"/>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项目</w:t>
            </w:r>
          </w:p>
        </w:tc>
        <w:tc>
          <w:tcPr>
            <w:tcW w:w="1603"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年初结转和结余</w:t>
            </w:r>
            <w:r>
              <w:rPr>
                <w:rFonts w:ascii="Times New Roman" w:hAnsi="Times New Roman" w:eastAsia="Times New Roman" w:cs="Times New Roman"/>
                <w:b w:val="0"/>
                <w:bCs w:val="0"/>
                <w:i w:val="0"/>
                <w:iCs w:val="0"/>
                <w:smallCaps w:val="0"/>
                <w:color w:val="000000"/>
                <w:kern w:val="0"/>
                <w:sz w:val="26"/>
                <w:szCs w:val="26"/>
              </w:rPr>
              <w:t xml:space="preserve"> </w:t>
            </w:r>
          </w:p>
        </w:tc>
        <w:tc>
          <w:tcPr>
            <w:tcW w:w="1603"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本年收入</w:t>
            </w:r>
          </w:p>
        </w:tc>
        <w:tc>
          <w:tcPr>
            <w:tcW w:w="4809"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本年支出</w:t>
            </w:r>
          </w:p>
        </w:tc>
        <w:tc>
          <w:tcPr>
            <w:tcW w:w="1603"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Header/>
        </w:trPr>
        <w:tc>
          <w:tcPr>
            <w:tcW w:w="1602"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支出功能分类科目编码</w:t>
            </w:r>
          </w:p>
        </w:tc>
        <w:tc>
          <w:tcPr>
            <w:tcW w:w="1603"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科目名称</w:t>
            </w:r>
          </w:p>
        </w:tc>
        <w:tc>
          <w:tcPr>
            <w:tcW w:w="160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60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603"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小计</w:t>
            </w:r>
          </w:p>
        </w:tc>
        <w:tc>
          <w:tcPr>
            <w:tcW w:w="1603"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基本支出</w:t>
            </w:r>
            <w:r>
              <w:rPr>
                <w:rFonts w:ascii="Times New Roman" w:hAnsi="Times New Roman" w:eastAsia="Times New Roman" w:cs="Times New Roman"/>
                <w:b w:val="0"/>
                <w:bCs w:val="0"/>
                <w:i w:val="0"/>
                <w:iCs w:val="0"/>
                <w:smallCaps w:val="0"/>
                <w:color w:val="000000"/>
                <w:kern w:val="0"/>
                <w:sz w:val="26"/>
                <w:szCs w:val="26"/>
              </w:rPr>
              <w:t xml:space="preserve"> </w:t>
            </w:r>
          </w:p>
        </w:tc>
        <w:tc>
          <w:tcPr>
            <w:tcW w:w="1603"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项目支出</w:t>
            </w:r>
          </w:p>
        </w:tc>
        <w:tc>
          <w:tcPr>
            <w:tcW w:w="160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Header/>
        </w:trPr>
        <w:tc>
          <w:tcPr>
            <w:tcW w:w="1602"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60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60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60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60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60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60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60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205" w:type="dxa"/>
            <w:gridSpan w:val="2"/>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栏次</w:t>
            </w:r>
          </w:p>
        </w:tc>
        <w:tc>
          <w:tcPr>
            <w:tcW w:w="1603"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w:t>
            </w:r>
          </w:p>
        </w:tc>
        <w:tc>
          <w:tcPr>
            <w:tcW w:w="1603"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w:t>
            </w:r>
          </w:p>
        </w:tc>
        <w:tc>
          <w:tcPr>
            <w:tcW w:w="1603"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w:t>
            </w:r>
          </w:p>
        </w:tc>
        <w:tc>
          <w:tcPr>
            <w:tcW w:w="1603"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w:t>
            </w:r>
          </w:p>
        </w:tc>
        <w:tc>
          <w:tcPr>
            <w:tcW w:w="1603"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w:t>
            </w:r>
          </w:p>
        </w:tc>
        <w:tc>
          <w:tcPr>
            <w:tcW w:w="1603"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205" w:type="dxa"/>
            <w:gridSpan w:val="2"/>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合计</w:t>
            </w:r>
          </w:p>
        </w:tc>
        <w:tc>
          <w:tcPr>
            <w:tcW w:w="1603"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03"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03"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03"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03"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03"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02"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03"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03"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03"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03"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03"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03"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03"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bl>
    <w:p>
      <w:pPr>
        <w:widowControl/>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pPr>
        <w:pStyle w:val="23"/>
        <w:widowControl/>
        <w:pBdr>
          <w:left w:val="none" w:color="auto" w:sz="0" w:space="30"/>
        </w:pBdr>
        <w:spacing w:before="0" w:after="0"/>
        <w:ind w:left="600" w:right="0"/>
        <w:rPr>
          <w:rFonts w:eastAsia="Times New Roman"/>
          <w:kern w:val="0"/>
          <w:szCs w:val="21"/>
        </w:rPr>
      </w:pPr>
      <w:r>
        <w:rPr>
          <w:rFonts w:ascii="kai_ti_gb2312" w:hAnsi="kai_ti_gb2312" w:eastAsia="kai_ti_gb2312" w:cs="kai_ti_gb2312"/>
          <w:kern w:val="0"/>
          <w:sz w:val="26"/>
          <w:szCs w:val="26"/>
        </w:rPr>
        <w:t>注：1.本表反映本年度政府性基金预算财政拨款收入、支出及结转和结余情况。</w:t>
      </w:r>
    </w:p>
    <w:p>
      <w:pPr>
        <w:pStyle w:val="23"/>
        <w:widowControl/>
        <w:pBdr>
          <w:left w:val="none" w:color="auto" w:sz="0" w:space="30"/>
        </w:pBdr>
        <w:spacing w:before="0" w:after="0"/>
        <w:ind w:left="600" w:right="0"/>
        <w:rPr>
          <w:rFonts w:eastAsia="Times New Roman"/>
          <w:kern w:val="0"/>
          <w:szCs w:val="21"/>
        </w:rPr>
      </w:pPr>
      <w:r>
        <w:rPr>
          <w:rFonts w:ascii="kai_ti_gb2312" w:hAnsi="kai_ti_gb2312" w:eastAsia="kai_ti_gb2312" w:cs="kai_ti_gb2312"/>
          <w:kern w:val="0"/>
          <w:sz w:val="26"/>
          <w:szCs w:val="26"/>
        </w:rPr>
        <w:t>    2.本单位2024年没有使用政府性基金预算拨款安排支出。</w:t>
      </w:r>
    </w:p>
    <w:p>
      <w:pPr>
        <w:pStyle w:val="23"/>
        <w:widowControl/>
        <w:pBdr>
          <w:left w:val="none" w:color="auto" w:sz="0" w:space="30"/>
        </w:pBdr>
        <w:spacing w:before="0" w:after="0"/>
        <w:ind w:left="600" w:right="0"/>
        <w:rPr>
          <w:rFonts w:eastAsia="Times New Roman"/>
          <w:kern w:val="0"/>
          <w:szCs w:val="21"/>
        </w:rPr>
        <w:sectPr>
          <w:footerReference r:id="rId17" w:type="default"/>
          <w:pgSz w:w="16383" w:h="11906" w:orient="landscape"/>
          <w:pgMar w:top="1440" w:right="1800" w:bottom="1440" w:left="1800" w:header="720" w:footer="720" w:gutter="0"/>
          <w:cols w:space="720" w:num="1"/>
        </w:sectPr>
      </w:pPr>
    </w:p>
    <w:p>
      <w:pPr>
        <w:pStyle w:val="5"/>
        <w:spacing w:before="100" w:after="100" w:line="240" w:lineRule="auto"/>
        <w:ind w:left="0" w:right="0" w:firstLine="0" w:firstLineChars="0"/>
        <w:rPr>
          <w:rFonts w:ascii="Times New Roman" w:hAnsi="Times New Roman" w:eastAsia="Times New Roman" w:cs="Times New Roman"/>
          <w:b/>
          <w:bCs/>
          <w:kern w:val="0"/>
          <w:sz w:val="28"/>
          <w:szCs w:val="28"/>
        </w:rPr>
      </w:pPr>
      <w:bookmarkStart w:id="61" w:name="_Toc256000015"/>
      <w:bookmarkStart w:id="62" w:name="_Toc256000108"/>
      <w:bookmarkStart w:id="63" w:name="_Toc256000077"/>
      <w:bookmarkStart w:id="64" w:name="_Toc256000046"/>
      <w:r>
        <w:rPr>
          <w:rFonts w:ascii="黑体" w:hAnsi="黑体" w:eastAsia="黑体" w:cs="黑体"/>
          <w:b/>
          <w:spacing w:val="0"/>
        </w:rPr>
        <w:t>九、国有资本经营预算财政拨款支出决算表</w:t>
      </w:r>
      <w:bookmarkEnd w:id="61"/>
      <w:bookmarkEnd w:id="62"/>
      <w:bookmarkEnd w:id="63"/>
      <w:bookmarkEnd w:id="64"/>
    </w:p>
    <w:p>
      <w:pPr>
        <w:sectPr>
          <w:footerReference r:id="rId18" w:type="default"/>
          <w:pgSz w:w="11906" w:h="16838"/>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tbl>
      <w:tblPr>
        <w:tblW w:w="128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564"/>
        <w:gridCol w:w="2564"/>
        <w:gridCol w:w="2565"/>
        <w:gridCol w:w="2565"/>
        <w:gridCol w:w="25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Header/>
        </w:trPr>
        <w:tc>
          <w:tcPr>
            <w:tcW w:w="12823" w:type="dxa"/>
            <w:gridSpan w:val="5"/>
            <w:tcMar>
              <w:top w:w="20" w:type="dxa"/>
              <w:left w:w="20" w:type="dxa"/>
              <w:bottom w:w="20" w:type="dxa"/>
              <w:right w:w="20" w:type="dxa"/>
            </w:tcMar>
            <w:vAlign w:val="center"/>
          </w:tcPr>
          <w:p>
            <w:pPr>
              <w:widowControl/>
              <w:spacing w:line="900" w:lineRule="atLeast"/>
              <w:jc w:val="center"/>
              <w:rPr>
                <w:rFonts w:ascii="Times New Roman" w:hAnsi="Times New Roman" w:eastAsia="Times New Roman" w:cs="Times New Roman"/>
                <w:b w:val="0"/>
                <w:bCs w:val="0"/>
                <w:i w:val="0"/>
                <w:iCs w:val="0"/>
                <w:smallCaps w:val="0"/>
                <w:color w:val="000000"/>
                <w:kern w:val="0"/>
                <w:sz w:val="27"/>
                <w:szCs w:val="27"/>
              </w:rPr>
            </w:pPr>
            <w:r>
              <w:rPr>
                <w:rFonts w:ascii="宋体" w:hAnsi="宋体" w:eastAsia="宋体" w:cs="宋体"/>
                <w:b w:val="0"/>
                <w:bCs w:val="0"/>
                <w:i w:val="0"/>
                <w:iCs w:val="0"/>
                <w:smallCaps w:val="0"/>
                <w:color w:val="000000"/>
                <w:kern w:val="0"/>
                <w:sz w:val="27"/>
                <w:szCs w:val="27"/>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Header/>
        </w:trPr>
        <w:tc>
          <w:tcPr>
            <w:tcW w:w="2564"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564"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56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56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565" w:type="dxa"/>
            <w:tcMar>
              <w:top w:w="20" w:type="dxa"/>
              <w:left w:w="20" w:type="dxa"/>
              <w:bottom w:w="20" w:type="dxa"/>
              <w:right w:w="20"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128" w:type="dxa"/>
            <w:gridSpan w:val="2"/>
            <w:tcMar>
              <w:top w:w="20" w:type="dxa"/>
              <w:left w:w="20" w:type="dxa"/>
              <w:bottom w:w="20" w:type="dxa"/>
              <w:right w:w="20"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部门</w:t>
            </w:r>
            <w:r>
              <w:rPr>
                <w:rFonts w:ascii="Times New Roman" w:hAnsi="Times New Roman" w:eastAsia="Times New Roman" w:cs="Times New Roman"/>
                <w:b w:val="0"/>
                <w:bCs w:val="0"/>
                <w:i w:val="0"/>
                <w:iCs w:val="0"/>
                <w:smallCaps w:val="0"/>
                <w:color w:val="000000"/>
                <w:kern w:val="0"/>
                <w:sz w:val="29"/>
                <w:szCs w:val="29"/>
              </w:rPr>
              <w:t>/</w:t>
            </w:r>
            <w:r>
              <w:rPr>
                <w:rFonts w:ascii="宋体" w:hAnsi="宋体" w:eastAsia="宋体" w:cs="宋体"/>
                <w:b w:val="0"/>
                <w:bCs w:val="0"/>
                <w:i w:val="0"/>
                <w:iCs w:val="0"/>
                <w:smallCaps w:val="0"/>
                <w:color w:val="000000"/>
                <w:kern w:val="0"/>
                <w:sz w:val="29"/>
                <w:szCs w:val="29"/>
              </w:rPr>
              <w:t>单位：厦门市思明区计划生育协会（本级）</w:t>
            </w:r>
          </w:p>
        </w:tc>
        <w:tc>
          <w:tcPr>
            <w:tcW w:w="2565" w:type="dxa"/>
            <w:tcMar>
              <w:top w:w="20" w:type="dxa"/>
              <w:left w:w="20" w:type="dxa"/>
              <w:bottom w:w="20" w:type="dxa"/>
              <w:right w:w="20"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2024</w:t>
            </w:r>
            <w:r>
              <w:rPr>
                <w:rFonts w:ascii="宋体" w:hAnsi="宋体" w:eastAsia="宋体" w:cs="宋体"/>
                <w:b w:val="0"/>
                <w:bCs w:val="0"/>
                <w:i w:val="0"/>
                <w:iCs w:val="0"/>
                <w:smallCaps w:val="0"/>
                <w:color w:val="000000"/>
                <w:kern w:val="0"/>
                <w:sz w:val="29"/>
                <w:szCs w:val="29"/>
              </w:rPr>
              <w:t>年度</w:t>
            </w:r>
          </w:p>
        </w:tc>
        <w:tc>
          <w:tcPr>
            <w:tcW w:w="256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565" w:type="dxa"/>
            <w:tcMar>
              <w:top w:w="20" w:type="dxa"/>
              <w:left w:w="20" w:type="dxa"/>
              <w:bottom w:w="20" w:type="dxa"/>
              <w:right w:w="20"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128" w:type="dxa"/>
            <w:gridSpan w:val="2"/>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项目</w:t>
            </w:r>
          </w:p>
        </w:tc>
        <w:tc>
          <w:tcPr>
            <w:tcW w:w="7695"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Header/>
        </w:trPr>
        <w:tc>
          <w:tcPr>
            <w:tcW w:w="2564"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科目代码</w:t>
            </w:r>
          </w:p>
        </w:tc>
        <w:tc>
          <w:tcPr>
            <w:tcW w:w="2564"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科目名称</w:t>
            </w:r>
          </w:p>
        </w:tc>
        <w:tc>
          <w:tcPr>
            <w:tcW w:w="2565"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合计</w:t>
            </w:r>
          </w:p>
        </w:tc>
        <w:tc>
          <w:tcPr>
            <w:tcW w:w="2565"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基本支出</w:t>
            </w:r>
          </w:p>
        </w:tc>
        <w:tc>
          <w:tcPr>
            <w:tcW w:w="2565"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Header/>
        </w:trPr>
        <w:tc>
          <w:tcPr>
            <w:tcW w:w="256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9"/>
                <w:szCs w:val="29"/>
              </w:rPr>
            </w:pPr>
          </w:p>
        </w:tc>
        <w:tc>
          <w:tcPr>
            <w:tcW w:w="256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9"/>
                <w:szCs w:val="29"/>
              </w:rPr>
            </w:pPr>
          </w:p>
        </w:tc>
        <w:tc>
          <w:tcPr>
            <w:tcW w:w="256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9"/>
                <w:szCs w:val="29"/>
              </w:rPr>
            </w:pPr>
          </w:p>
        </w:tc>
        <w:tc>
          <w:tcPr>
            <w:tcW w:w="256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9"/>
                <w:szCs w:val="29"/>
              </w:rPr>
            </w:pPr>
          </w:p>
        </w:tc>
        <w:tc>
          <w:tcPr>
            <w:tcW w:w="256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9"/>
                <w:szCs w:val="2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Header/>
        </w:trPr>
        <w:tc>
          <w:tcPr>
            <w:tcW w:w="256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9"/>
                <w:szCs w:val="29"/>
              </w:rPr>
            </w:pPr>
          </w:p>
        </w:tc>
        <w:tc>
          <w:tcPr>
            <w:tcW w:w="256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9"/>
                <w:szCs w:val="29"/>
              </w:rPr>
            </w:pPr>
          </w:p>
        </w:tc>
        <w:tc>
          <w:tcPr>
            <w:tcW w:w="256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9"/>
                <w:szCs w:val="29"/>
              </w:rPr>
            </w:pPr>
          </w:p>
        </w:tc>
        <w:tc>
          <w:tcPr>
            <w:tcW w:w="256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9"/>
                <w:szCs w:val="29"/>
              </w:rPr>
            </w:pPr>
          </w:p>
        </w:tc>
        <w:tc>
          <w:tcPr>
            <w:tcW w:w="256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9"/>
                <w:szCs w:val="2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128" w:type="dxa"/>
            <w:gridSpan w:val="2"/>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栏次</w:t>
            </w:r>
          </w:p>
        </w:tc>
        <w:tc>
          <w:tcPr>
            <w:tcW w:w="25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w:t>
            </w:r>
          </w:p>
        </w:tc>
        <w:tc>
          <w:tcPr>
            <w:tcW w:w="25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w:t>
            </w:r>
          </w:p>
        </w:tc>
        <w:tc>
          <w:tcPr>
            <w:tcW w:w="25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128" w:type="dxa"/>
            <w:gridSpan w:val="2"/>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合计</w:t>
            </w:r>
          </w:p>
        </w:tc>
        <w:tc>
          <w:tcPr>
            <w:tcW w:w="25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bl>
    <w:p>
      <w:pPr>
        <w:widowControl/>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pPr>
        <w:pStyle w:val="23"/>
        <w:widowControl/>
        <w:pBdr>
          <w:left w:val="none" w:color="auto" w:sz="0" w:space="30"/>
        </w:pBdr>
        <w:spacing w:before="0" w:after="0"/>
        <w:ind w:left="600" w:right="0"/>
        <w:rPr>
          <w:rFonts w:eastAsia="Times New Roman"/>
          <w:kern w:val="0"/>
          <w:szCs w:val="21"/>
        </w:rPr>
      </w:pPr>
      <w:r>
        <w:rPr>
          <w:rFonts w:ascii="kai_ti_gb2312" w:hAnsi="kai_ti_gb2312" w:eastAsia="kai_ti_gb2312" w:cs="kai_ti_gb2312"/>
          <w:kern w:val="0"/>
          <w:sz w:val="26"/>
          <w:szCs w:val="26"/>
        </w:rPr>
        <w:t>注：1.本表反映本年度国有资本经营预算财政拨款支出情况。</w:t>
      </w:r>
    </w:p>
    <w:p>
      <w:pPr>
        <w:pStyle w:val="23"/>
        <w:widowControl/>
        <w:pBdr>
          <w:left w:val="none" w:color="auto" w:sz="0" w:space="30"/>
        </w:pBdr>
        <w:spacing w:before="0" w:after="0"/>
        <w:ind w:left="600" w:right="0"/>
        <w:rPr>
          <w:rFonts w:hint="eastAsia" w:eastAsia="宋体"/>
          <w:kern w:val="0"/>
          <w:szCs w:val="21"/>
          <w:lang w:eastAsia="zh-CN"/>
        </w:rPr>
      </w:pPr>
      <w:r>
        <w:rPr>
          <w:rFonts w:ascii="kai_ti_gb2312" w:hAnsi="kai_ti_gb2312" w:eastAsia="kai_ti_gb2312" w:cs="kai_ti_gb2312"/>
          <w:kern w:val="0"/>
          <w:sz w:val="26"/>
          <w:szCs w:val="26"/>
        </w:rPr>
        <w:t>    2.本单位2024年没有使用国有资本经营预算财政拨款安排的支出</w:t>
      </w:r>
      <w:r>
        <w:rPr>
          <w:rFonts w:hint="eastAsia" w:ascii="kai_ti_gb2312" w:hAnsi="kai_ti_gb2312" w:eastAsia="宋体" w:cs="kai_ti_gb2312"/>
          <w:kern w:val="0"/>
          <w:sz w:val="26"/>
          <w:szCs w:val="26"/>
          <w:lang w:eastAsia="zh-CN"/>
        </w:rPr>
        <w:t>。</w:t>
      </w:r>
    </w:p>
    <w:p>
      <w:pPr>
        <w:pStyle w:val="23"/>
        <w:widowControl/>
        <w:spacing w:before="240" w:after="240"/>
        <w:jc w:val="left"/>
        <w:rPr>
          <w:rFonts w:ascii="Times New Roman" w:hAnsi="Times New Roman" w:eastAsia="Times New Roman" w:cs="Times New Roman"/>
          <w:kern w:val="0"/>
          <w:sz w:val="24"/>
        </w:rPr>
      </w:pPr>
      <w:r>
        <w:rPr>
          <w:rFonts w:ascii="Calibri" w:hAnsi="Calibri" w:eastAsia="Calibri" w:cs="Calibri"/>
          <w:spacing w:val="0"/>
          <w:kern w:val="0"/>
          <w:sz w:val="56"/>
          <w:szCs w:val="56"/>
        </w:rPr>
        <w:t> </w:t>
      </w:r>
    </w:p>
    <w:p>
      <w:pPr>
        <w:pStyle w:val="23"/>
        <w:widowControl/>
        <w:spacing w:before="240" w:after="240"/>
        <w:jc w:val="left"/>
        <w:rPr>
          <w:rFonts w:ascii="Times New Roman" w:hAnsi="Times New Roman" w:eastAsia="Times New Roman" w:cs="Times New Roman"/>
          <w:kern w:val="0"/>
          <w:sz w:val="24"/>
        </w:rPr>
        <w:sectPr>
          <w:footerReference r:id="rId19" w:type="default"/>
          <w:pgSz w:w="16383" w:h="11906" w:orient="landscape"/>
          <w:pgMar w:top="1440" w:right="1800" w:bottom="1440" w:left="1800" w:header="720" w:footer="720" w:gutter="0"/>
          <w:cols w:space="720" w:num="1"/>
        </w:sectPr>
      </w:pPr>
    </w:p>
    <w:p>
      <w:pPr>
        <w:pStyle w:val="23"/>
        <w:widowControl/>
        <w:spacing w:before="240" w:after="240"/>
        <w:jc w:val="left"/>
        <w:rPr>
          <w:rFonts w:ascii="Times New Roman" w:hAnsi="Times New Roman" w:eastAsia="Times New Roman" w:cs="Times New Roman"/>
          <w:kern w:val="0"/>
          <w:sz w:val="24"/>
        </w:rPr>
      </w:pPr>
    </w:p>
    <w:p>
      <w:pPr>
        <w:pStyle w:val="23"/>
        <w:widowControl/>
        <w:spacing w:before="240" w:after="240"/>
        <w:jc w:val="left"/>
        <w:rPr>
          <w:rFonts w:ascii="Times New Roman" w:hAnsi="Times New Roman" w:eastAsia="Times New Roman" w:cs="Times New Roman"/>
          <w:kern w:val="0"/>
          <w:sz w:val="24"/>
        </w:rPr>
      </w:pPr>
    </w:p>
    <w:p>
      <w:pPr>
        <w:pStyle w:val="23"/>
        <w:widowControl/>
        <w:spacing w:before="240" w:after="240"/>
        <w:jc w:val="left"/>
        <w:rPr>
          <w:rFonts w:ascii="Times New Roman" w:hAnsi="Times New Roman" w:eastAsia="Times New Roman" w:cs="Times New Roman"/>
          <w:kern w:val="0"/>
          <w:sz w:val="24"/>
        </w:rPr>
      </w:pPr>
    </w:p>
    <w:p>
      <w:pPr>
        <w:pStyle w:val="23"/>
        <w:widowControl/>
        <w:spacing w:before="240" w:after="240"/>
        <w:jc w:val="left"/>
        <w:rPr>
          <w:rFonts w:ascii="Times New Roman" w:hAnsi="Times New Roman" w:eastAsia="Times New Roman" w:cs="Times New Roman"/>
          <w:kern w:val="0"/>
          <w:sz w:val="24"/>
        </w:rPr>
      </w:pPr>
    </w:p>
    <w:p>
      <w:pPr>
        <w:pStyle w:val="23"/>
        <w:widowControl/>
        <w:spacing w:before="240" w:after="240"/>
        <w:jc w:val="left"/>
        <w:rPr>
          <w:rFonts w:ascii="Times New Roman" w:hAnsi="Times New Roman" w:eastAsia="Times New Roman" w:cs="Times New Roman"/>
          <w:kern w:val="0"/>
          <w:sz w:val="24"/>
        </w:rPr>
      </w:pPr>
    </w:p>
    <w:p>
      <w:pPr>
        <w:pStyle w:val="23"/>
        <w:widowControl/>
        <w:spacing w:before="240" w:after="240"/>
        <w:jc w:val="left"/>
        <w:rPr>
          <w:rFonts w:ascii="Times New Roman" w:hAnsi="Times New Roman" w:eastAsia="Times New Roman" w:cs="Times New Roman"/>
          <w:kern w:val="0"/>
          <w:sz w:val="24"/>
        </w:rPr>
      </w:pPr>
    </w:p>
    <w:p>
      <w:pPr>
        <w:pStyle w:val="23"/>
        <w:widowControl/>
        <w:spacing w:before="240" w:after="240"/>
        <w:jc w:val="left"/>
        <w:rPr>
          <w:rFonts w:ascii="Times New Roman" w:hAnsi="Times New Roman" w:eastAsia="Times New Roman" w:cs="Times New Roman"/>
          <w:kern w:val="0"/>
          <w:sz w:val="24"/>
        </w:rPr>
      </w:pPr>
    </w:p>
    <w:p>
      <w:pPr>
        <w:pStyle w:val="23"/>
        <w:widowControl/>
        <w:spacing w:before="240" w:after="240"/>
        <w:jc w:val="left"/>
        <w:rPr>
          <w:rFonts w:ascii="Times New Roman" w:hAnsi="Times New Roman" w:eastAsia="Times New Roman" w:cs="Times New Roman"/>
          <w:kern w:val="0"/>
          <w:sz w:val="24"/>
        </w:rPr>
      </w:pPr>
    </w:p>
    <w:p>
      <w:pPr>
        <w:pStyle w:val="3"/>
        <w:spacing w:before="100" w:after="100" w:line="240" w:lineRule="auto"/>
        <w:ind w:left="0" w:right="0" w:firstLine="0" w:firstLineChars="0"/>
        <w:rPr>
          <w:rFonts w:ascii="Times New Roman" w:hAnsi="Times New Roman" w:eastAsia="Times New Roman" w:cs="Times New Roman"/>
          <w:b/>
          <w:bCs/>
          <w:kern w:val="0"/>
          <w:sz w:val="36"/>
          <w:szCs w:val="36"/>
        </w:rPr>
      </w:pPr>
      <w:bookmarkStart w:id="65" w:name="_Toc256000109"/>
      <w:bookmarkStart w:id="66" w:name="_Toc256000078"/>
      <w:bookmarkStart w:id="67" w:name="_Toc256000047"/>
      <w:bookmarkStart w:id="68" w:name="_Toc256000016"/>
      <w:r>
        <w:rPr>
          <w:rFonts w:ascii="黑体" w:hAnsi="黑体" w:eastAsia="黑体" w:cs="黑体"/>
          <w:b/>
          <w:spacing w:val="0"/>
          <w:sz w:val="56"/>
          <w:szCs w:val="56"/>
        </w:rPr>
        <w:t>第三部分</w:t>
      </w:r>
      <w:bookmarkEnd w:id="65"/>
      <w:bookmarkEnd w:id="66"/>
      <w:bookmarkEnd w:id="67"/>
      <w:bookmarkEnd w:id="68"/>
      <w:r>
        <w:rPr>
          <w:rFonts w:ascii="宋体" w:hAnsi="宋体" w:eastAsia="宋体" w:cs="宋体"/>
          <w:b/>
          <w:spacing w:val="0"/>
          <w:sz w:val="56"/>
          <w:szCs w:val="56"/>
        </w:rPr>
        <w:t> </w:t>
      </w:r>
    </w:p>
    <w:p>
      <w:pPr>
        <w:pStyle w:val="3"/>
        <w:spacing w:before="100" w:after="100" w:line="600" w:lineRule="atLeast"/>
        <w:ind w:left="0" w:right="0" w:firstLine="0" w:firstLineChars="0"/>
        <w:jc w:val="center"/>
        <w:rPr>
          <w:rFonts w:ascii="Times New Roman" w:hAnsi="Times New Roman" w:eastAsia="Times New Roman" w:cs="Times New Roman"/>
          <w:b/>
          <w:bCs/>
          <w:kern w:val="0"/>
          <w:sz w:val="36"/>
          <w:szCs w:val="36"/>
        </w:rPr>
      </w:pPr>
      <w:bookmarkStart w:id="69" w:name="_Toc256000017"/>
      <w:bookmarkStart w:id="70" w:name="_Toc256000048"/>
      <w:bookmarkStart w:id="71" w:name="_Toc256000079"/>
      <w:bookmarkStart w:id="72" w:name="_Toc256000110"/>
      <w:r>
        <w:rPr>
          <w:rFonts w:ascii="黑体" w:hAnsi="黑体" w:eastAsia="黑体" w:cs="黑体"/>
          <w:b/>
          <w:spacing w:val="0"/>
          <w:sz w:val="56"/>
          <w:szCs w:val="56"/>
        </w:rPr>
        <w:t>2024年度决算情况说明</w:t>
      </w:r>
      <w:bookmarkEnd w:id="69"/>
      <w:bookmarkEnd w:id="70"/>
      <w:bookmarkEnd w:id="71"/>
      <w:bookmarkEnd w:id="72"/>
    </w:p>
    <w:p>
      <w:pPr>
        <w:pStyle w:val="23"/>
        <w:widowControl/>
        <w:spacing w:before="100" w:after="100" w:line="600" w:lineRule="atLeast"/>
        <w:ind w:left="0" w:right="0" w:firstLine="0"/>
        <w:jc w:val="center"/>
        <w:rPr>
          <w:rFonts w:ascii="Times New Roman" w:hAnsi="Times New Roman" w:eastAsia="Times New Roman" w:cs="Times New Roman"/>
          <w:kern w:val="0"/>
          <w:sz w:val="24"/>
        </w:rPr>
      </w:pPr>
    </w:p>
    <w:p>
      <w:pPr>
        <w:sectPr>
          <w:footerReference r:id="rId20" w:type="default"/>
          <w:pgSz w:w="11906" w:h="16838"/>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page break</w:t>
      </w:r>
    </w:p>
    <w:p>
      <w:pPr>
        <w:widowControl/>
        <w:spacing w:before="240" w:after="240"/>
        <w:jc w:val="left"/>
        <w:rPr>
          <w:rFonts w:ascii="Times New Roman" w:hAnsi="Times New Roman" w:eastAsia="Times New Roman" w:cs="Times New Roman"/>
          <w:kern w:val="0"/>
          <w:sz w:val="24"/>
        </w:rPr>
      </w:pPr>
    </w:p>
    <w:p>
      <w:pPr>
        <w:pStyle w:val="5"/>
        <w:spacing w:before="100" w:after="100" w:line="600" w:lineRule="atLeast"/>
        <w:ind w:left="0" w:right="0" w:firstLine="640" w:firstLineChars="0"/>
        <w:rPr>
          <w:rFonts w:ascii="Times New Roman" w:hAnsi="Times New Roman" w:eastAsia="Times New Roman" w:cs="Times New Roman"/>
          <w:b/>
          <w:bCs/>
          <w:kern w:val="0"/>
          <w:sz w:val="28"/>
          <w:szCs w:val="28"/>
        </w:rPr>
      </w:pPr>
      <w:bookmarkStart w:id="73" w:name="_Toc256000080"/>
      <w:bookmarkStart w:id="74" w:name="_Toc256000111"/>
      <w:bookmarkStart w:id="75" w:name="_Toc256000049"/>
      <w:bookmarkStart w:id="76" w:name="_Toc256000018"/>
      <w:r>
        <w:rPr>
          <w:rFonts w:ascii="黑体" w:hAnsi="黑体" w:eastAsia="黑体" w:cs="黑体"/>
          <w:b/>
          <w:spacing w:val="0"/>
        </w:rPr>
        <w:t>一、收入支出决算总体情况说明</w:t>
      </w:r>
      <w:bookmarkEnd w:id="73"/>
      <w:bookmarkEnd w:id="74"/>
      <w:bookmarkEnd w:id="75"/>
      <w:bookmarkEnd w:id="76"/>
    </w:p>
    <w:p>
      <w:pPr>
        <w:pStyle w:val="23"/>
        <w:widowControl/>
        <w:spacing w:before="100" w:after="100" w:line="600" w:lineRule="atLeast"/>
        <w:ind w:left="0" w:right="0" w:firstLine="640"/>
        <w:jc w:val="left"/>
        <w:rPr>
          <w:rFonts w:ascii="Times New Roman" w:hAnsi="Times New Roman" w:eastAsia="Times New Roman" w:cs="Times New Roman"/>
          <w:kern w:val="0"/>
          <w:sz w:val="24"/>
        </w:rPr>
      </w:pPr>
      <w:r>
        <w:rPr>
          <w:rFonts w:ascii="楷体_GB2312" w:hAnsi="楷体_GB2312" w:eastAsia="楷体_GB2312" w:cs="楷体_GB2312"/>
          <w:spacing w:val="0"/>
          <w:kern w:val="0"/>
          <w:sz w:val="32"/>
          <w:szCs w:val="32"/>
        </w:rPr>
        <w:t>（一）收入支出决算总体情况说明</w:t>
      </w:r>
    </w:p>
    <w:p>
      <w:pPr>
        <w:widowControl/>
        <w:wordWrap/>
        <w:adjustRightInd/>
        <w:snapToGrid/>
        <w:spacing w:before="0" w:after="0" w:line="600" w:lineRule="atLeast"/>
        <w:ind w:left="0" w:leftChars="0" w:right="0" w:firstLine="640" w:firstLineChars="200"/>
        <w:jc w:val="left"/>
        <w:textAlignment w:val="auto"/>
        <w:outlineLvl w:val="9"/>
        <w:rPr>
          <w:rFonts w:hint="eastAsia" w:ascii="仿宋_GB2312" w:hAnsi="仿宋_GB2312" w:eastAsia="仿宋_GB2312" w:cs="仿宋_GB2312"/>
          <w:kern w:val="0"/>
          <w:sz w:val="32"/>
          <w:szCs w:val="32"/>
          <w:lang w:eastAsia="zh-CN"/>
        </w:rPr>
      </w:pPr>
      <w:r>
        <w:rPr>
          <w:rFonts w:ascii="仿宋_GB2312" w:hAnsi="仿宋_GB2312" w:eastAsia="仿宋_GB2312" w:cs="仿宋_GB2312"/>
          <w:spacing w:val="0"/>
          <w:kern w:val="0"/>
          <w:sz w:val="32"/>
          <w:szCs w:val="32"/>
        </w:rPr>
        <w:t>2024年度本单位收入总计1,841.10万元，支出总计1,841.10万元，与上年决算数相比，各减少55.33万元，各增长3.10%。主要是</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color w:val="000000"/>
          <w:sz w:val="32"/>
          <w:szCs w:val="32"/>
        </w:rPr>
        <w:t>计生家庭意外伤害保险</w:t>
      </w:r>
      <w:r>
        <w:rPr>
          <w:rFonts w:hint="eastAsia" w:ascii="仿宋_GB2312" w:hAnsi="仿宋_GB2312" w:eastAsia="仿宋_GB2312" w:cs="仿宋_GB2312"/>
          <w:color w:val="000000"/>
          <w:sz w:val="32"/>
          <w:szCs w:val="32"/>
          <w:lang w:eastAsia="zh-CN"/>
        </w:rPr>
        <w:t>及</w:t>
      </w:r>
      <w:r>
        <w:rPr>
          <w:rFonts w:hint="eastAsia" w:ascii="仿宋_GB2312" w:hAnsi="仿宋_GB2312" w:eastAsia="仿宋_GB2312" w:cs="仿宋_GB2312"/>
          <w:color w:val="000000"/>
          <w:sz w:val="32"/>
          <w:szCs w:val="32"/>
        </w:rPr>
        <w:t>计生失独家庭住院护理保险</w:t>
      </w:r>
      <w:r>
        <w:rPr>
          <w:rFonts w:hint="eastAsia" w:ascii="仿宋_GB2312" w:hAnsi="仿宋_GB2312" w:eastAsia="仿宋_GB2312" w:cs="仿宋_GB2312"/>
          <w:color w:val="000000"/>
          <w:sz w:val="32"/>
          <w:szCs w:val="32"/>
          <w:lang w:eastAsia="zh-CN"/>
        </w:rPr>
        <w:t>按投保人数逐年递增计算，本年度经费支出增加。人员经费、退休人员生活补助按规定比去年标准提高，经费支出增加。</w:t>
      </w:r>
    </w:p>
    <w:p>
      <w:pPr>
        <w:pStyle w:val="23"/>
        <w:widowControl/>
        <w:spacing w:before="100" w:after="100" w:line="600" w:lineRule="atLeast"/>
        <w:ind w:left="0" w:right="0" w:firstLine="640"/>
        <w:jc w:val="left"/>
        <w:rPr>
          <w:rFonts w:ascii="Times New Roman" w:hAnsi="Times New Roman" w:eastAsia="Times New Roman" w:cs="Times New Roman"/>
          <w:kern w:val="0"/>
          <w:sz w:val="24"/>
        </w:rPr>
      </w:pPr>
      <w:r>
        <w:rPr>
          <w:rFonts w:ascii="楷体_GB2312" w:hAnsi="楷体_GB2312" w:eastAsia="楷体_GB2312" w:cs="楷体_GB2312"/>
          <w:spacing w:val="0"/>
          <w:kern w:val="0"/>
          <w:sz w:val="32"/>
          <w:szCs w:val="32"/>
        </w:rPr>
        <w:t>（二）收入决算情况说明</w:t>
      </w:r>
    </w:p>
    <w:p>
      <w:pPr>
        <w:pStyle w:val="23"/>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2024年度收入1,554.15万元，比上年决算数</w:t>
      </w:r>
      <w:r>
        <w:rPr>
          <w:rFonts w:ascii="仿宋_GB2312" w:hAnsi="仿宋_GB2312" w:eastAsia="仿宋_GB2312" w:cs="仿宋_GB2312"/>
          <w:kern w:val="0"/>
          <w:sz w:val="32"/>
          <w:szCs w:val="32"/>
        </w:rPr>
        <w:t>增加</w:t>
      </w:r>
      <w:r>
        <w:rPr>
          <w:rFonts w:ascii="仿宋_GB2312" w:hAnsi="仿宋_GB2312" w:eastAsia="仿宋_GB2312" w:cs="仿宋_GB2312"/>
          <w:spacing w:val="0"/>
          <w:kern w:val="0"/>
          <w:sz w:val="32"/>
          <w:szCs w:val="32"/>
        </w:rPr>
        <w:t>68.41万元，</w:t>
      </w:r>
      <w:r>
        <w:rPr>
          <w:rFonts w:ascii="仿宋_GB2312" w:hAnsi="仿宋_GB2312" w:eastAsia="仿宋_GB2312" w:cs="仿宋_GB2312"/>
          <w:kern w:val="0"/>
          <w:sz w:val="32"/>
          <w:szCs w:val="32"/>
        </w:rPr>
        <w:t>增长</w:t>
      </w:r>
      <w:r>
        <w:rPr>
          <w:rFonts w:ascii="仿宋_GB2312" w:hAnsi="仿宋_GB2312" w:eastAsia="仿宋_GB2312" w:cs="仿宋_GB2312"/>
          <w:spacing w:val="0"/>
          <w:kern w:val="0"/>
          <w:sz w:val="32"/>
          <w:szCs w:val="32"/>
        </w:rPr>
        <w:t>4.60%，具体情况如下：</w:t>
      </w:r>
    </w:p>
    <w:p>
      <w:pPr>
        <w:pStyle w:val="23"/>
        <w:widowControl/>
        <w:spacing w:before="100" w:after="100" w:line="600" w:lineRule="atLeast"/>
        <w:ind w:left="160" w:right="0" w:firstLine="48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1.一般公共预算财政拨款收入1,545.85万元。</w:t>
      </w:r>
    </w:p>
    <w:p>
      <w:pPr>
        <w:pStyle w:val="23"/>
        <w:widowControl/>
        <w:spacing w:before="100" w:after="100" w:line="600" w:lineRule="atLeast"/>
        <w:ind w:left="160" w:right="0" w:firstLine="48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2.政府性基金预算财政拨款收入0万元。</w:t>
      </w:r>
    </w:p>
    <w:p>
      <w:pPr>
        <w:pStyle w:val="23"/>
        <w:widowControl/>
        <w:spacing w:before="100" w:after="100" w:line="600" w:lineRule="atLeast"/>
        <w:ind w:left="160" w:right="0" w:firstLine="48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3.国有资本经营预算财政拨款收入0万元。</w:t>
      </w:r>
    </w:p>
    <w:p>
      <w:pPr>
        <w:pStyle w:val="23"/>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4.上级补助收入0万元。</w:t>
      </w:r>
    </w:p>
    <w:p>
      <w:pPr>
        <w:pStyle w:val="23"/>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5.事业收入0万元。</w:t>
      </w:r>
    </w:p>
    <w:p>
      <w:pPr>
        <w:pStyle w:val="23"/>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6.经营收入0万元。</w:t>
      </w:r>
    </w:p>
    <w:p>
      <w:pPr>
        <w:pStyle w:val="23"/>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7.附属单位上缴收入0万元。</w:t>
      </w:r>
    </w:p>
    <w:p>
      <w:pPr>
        <w:pStyle w:val="23"/>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8.其他收入8.30万元。</w:t>
      </w:r>
    </w:p>
    <w:p>
      <w:pPr>
        <w:pStyle w:val="23"/>
        <w:widowControl/>
        <w:spacing w:before="100" w:after="100" w:line="600" w:lineRule="atLeast"/>
        <w:ind w:left="0" w:right="0" w:firstLine="640"/>
        <w:jc w:val="left"/>
        <w:rPr>
          <w:rFonts w:ascii="Times New Roman" w:hAnsi="Times New Roman" w:eastAsia="Times New Roman" w:cs="Times New Roman"/>
          <w:kern w:val="0"/>
          <w:sz w:val="24"/>
        </w:rPr>
      </w:pPr>
      <w:r>
        <w:rPr>
          <w:rFonts w:ascii="楷体_GB2312" w:hAnsi="楷体_GB2312" w:eastAsia="楷体_GB2312" w:cs="楷体_GB2312"/>
          <w:spacing w:val="0"/>
          <w:kern w:val="0"/>
          <w:sz w:val="32"/>
          <w:szCs w:val="32"/>
        </w:rPr>
        <w:t>（三）支出决算情况说明</w:t>
      </w:r>
    </w:p>
    <w:p>
      <w:pPr>
        <w:pStyle w:val="23"/>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2024年度支出1,568.59万元，比上年决算数增加77.14万元，增长5.17%，具体情况如下：</w:t>
      </w:r>
    </w:p>
    <w:p>
      <w:pPr>
        <w:pStyle w:val="23"/>
        <w:widowControl/>
        <w:spacing w:before="100" w:after="100" w:line="600" w:lineRule="atLeast"/>
        <w:ind w:right="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1.基本支出233.75万元。其中，人员支出192.55万元，公用支出41.20万元。</w:t>
      </w:r>
    </w:p>
    <w:p>
      <w:pPr>
        <w:pStyle w:val="23"/>
        <w:widowControl/>
        <w:spacing w:before="240" w:after="240"/>
        <w:ind w:right="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2.项目支出1,334.85万元。</w:t>
      </w:r>
    </w:p>
    <w:p>
      <w:pPr>
        <w:pStyle w:val="23"/>
        <w:widowControl/>
        <w:spacing w:before="100" w:after="100" w:line="600" w:lineRule="atLeast"/>
        <w:ind w:right="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3.上缴上级支出0万元。</w:t>
      </w:r>
    </w:p>
    <w:p>
      <w:pPr>
        <w:pStyle w:val="23"/>
        <w:widowControl/>
        <w:spacing w:before="100" w:after="100" w:line="600" w:lineRule="atLeast"/>
        <w:ind w:right="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4.经营支出0万元。</w:t>
      </w:r>
    </w:p>
    <w:p>
      <w:pPr>
        <w:pStyle w:val="23"/>
        <w:widowControl/>
        <w:spacing w:before="100" w:after="100" w:line="600" w:lineRule="atLeast"/>
        <w:ind w:right="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5.对附属单位补助支出0万元。</w:t>
      </w:r>
    </w:p>
    <w:p>
      <w:pPr>
        <w:pStyle w:val="5"/>
        <w:spacing w:before="100" w:after="100" w:line="240" w:lineRule="auto"/>
        <w:ind w:left="0" w:right="0" w:firstLine="480" w:firstLineChars="0"/>
        <w:rPr>
          <w:rFonts w:ascii="Times New Roman" w:hAnsi="Times New Roman" w:eastAsia="Times New Roman" w:cs="Times New Roman"/>
          <w:b/>
          <w:bCs/>
          <w:kern w:val="0"/>
          <w:sz w:val="28"/>
          <w:szCs w:val="28"/>
        </w:rPr>
      </w:pPr>
      <w:bookmarkStart w:id="77" w:name="_Toc256000081"/>
      <w:bookmarkStart w:id="78" w:name="_Toc256000050"/>
      <w:bookmarkStart w:id="79" w:name="_Toc256000112"/>
      <w:bookmarkStart w:id="80" w:name="_Toc256000019"/>
      <w:r>
        <w:rPr>
          <w:rFonts w:ascii="黑体" w:hAnsi="黑体" w:eastAsia="黑体" w:cs="黑体"/>
          <w:b/>
          <w:spacing w:val="0"/>
        </w:rPr>
        <w:t>二、财政拨款收入支出决算总体情况说明</w:t>
      </w:r>
      <w:bookmarkEnd w:id="77"/>
      <w:bookmarkEnd w:id="78"/>
      <w:bookmarkEnd w:id="79"/>
      <w:bookmarkEnd w:id="80"/>
    </w:p>
    <w:p>
      <w:pPr>
        <w:widowControl/>
        <w:wordWrap/>
        <w:adjustRightInd/>
        <w:snapToGrid/>
        <w:spacing w:before="0" w:after="0" w:line="600" w:lineRule="atLeast"/>
        <w:ind w:left="0" w:leftChars="0" w:right="0" w:firstLine="640" w:firstLineChars="200"/>
        <w:jc w:val="left"/>
        <w:textAlignment w:val="auto"/>
        <w:outlineLvl w:val="9"/>
        <w:rPr>
          <w:rFonts w:hint="eastAsia" w:ascii="仿宋_GB2312" w:hAnsi="仿宋_GB2312" w:eastAsia="仿宋_GB2312" w:cs="仿宋_GB2312"/>
          <w:kern w:val="0"/>
          <w:sz w:val="32"/>
          <w:szCs w:val="32"/>
        </w:rPr>
      </w:pPr>
      <w:r>
        <w:rPr>
          <w:rFonts w:ascii="仿宋_GB2312" w:hAnsi="仿宋_GB2312" w:eastAsia="仿宋_GB2312" w:cs="仿宋_GB2312"/>
          <w:spacing w:val="0"/>
          <w:kern w:val="0"/>
          <w:sz w:val="32"/>
          <w:szCs w:val="32"/>
        </w:rPr>
        <w:t>2024年度财政拨款收入总计1,545.85万元，支出总计1,545.85万元，与上年决算数相比，各增加62.46万元，增长4.21%，主要是：</w:t>
      </w:r>
      <w:r>
        <w:rPr>
          <w:rFonts w:hint="eastAsia" w:ascii="仿宋_GB2312" w:hAnsi="仿宋_GB2312" w:eastAsia="仿宋_GB2312" w:cs="仿宋_GB2312"/>
          <w:color w:val="000000"/>
          <w:sz w:val="32"/>
          <w:szCs w:val="32"/>
        </w:rPr>
        <w:t>计生家庭意外伤害保险</w:t>
      </w:r>
      <w:r>
        <w:rPr>
          <w:rFonts w:hint="eastAsia" w:ascii="仿宋_GB2312" w:hAnsi="仿宋_GB2312" w:eastAsia="仿宋_GB2312" w:cs="仿宋_GB2312"/>
          <w:color w:val="000000"/>
          <w:sz w:val="32"/>
          <w:szCs w:val="32"/>
          <w:lang w:eastAsia="zh-CN"/>
        </w:rPr>
        <w:t>及</w:t>
      </w:r>
      <w:r>
        <w:rPr>
          <w:rFonts w:hint="eastAsia" w:ascii="仿宋_GB2312" w:hAnsi="仿宋_GB2312" w:eastAsia="仿宋_GB2312" w:cs="仿宋_GB2312"/>
          <w:color w:val="000000"/>
          <w:sz w:val="32"/>
          <w:szCs w:val="32"/>
        </w:rPr>
        <w:t>计生失独家庭住院护理保险</w:t>
      </w:r>
      <w:r>
        <w:rPr>
          <w:rFonts w:hint="eastAsia" w:ascii="仿宋_GB2312" w:hAnsi="仿宋_GB2312" w:eastAsia="仿宋_GB2312" w:cs="仿宋_GB2312"/>
          <w:color w:val="000000"/>
          <w:sz w:val="32"/>
          <w:szCs w:val="32"/>
          <w:lang w:eastAsia="zh-CN"/>
        </w:rPr>
        <w:t>按投保人数逐年递增计算，本年度经费支出增加。人员经费、退休人员生活补助按规定比去年标准提高，经费支出增加。</w:t>
      </w:r>
    </w:p>
    <w:p>
      <w:pPr>
        <w:pStyle w:val="5"/>
        <w:spacing w:before="100" w:after="100" w:line="600" w:lineRule="atLeast"/>
        <w:ind w:left="0" w:right="0" w:firstLine="640" w:firstLineChars="0"/>
        <w:rPr>
          <w:rFonts w:ascii="Times New Roman" w:hAnsi="Times New Roman" w:eastAsia="Times New Roman" w:cs="Times New Roman"/>
          <w:b/>
          <w:bCs/>
          <w:kern w:val="0"/>
          <w:sz w:val="28"/>
          <w:szCs w:val="28"/>
        </w:rPr>
      </w:pPr>
      <w:bookmarkStart w:id="81" w:name="_Toc256000082"/>
      <w:bookmarkStart w:id="82" w:name="_Toc256000020"/>
      <w:bookmarkStart w:id="83" w:name="_Toc256000113"/>
      <w:bookmarkStart w:id="84" w:name="_Toc256000051"/>
      <w:r>
        <w:rPr>
          <w:rFonts w:ascii="黑体" w:hAnsi="黑体" w:eastAsia="黑体" w:cs="黑体"/>
          <w:b/>
          <w:spacing w:val="0"/>
        </w:rPr>
        <w:t>三、一般公共预算拨款支出决算情况说明</w:t>
      </w:r>
      <w:bookmarkEnd w:id="81"/>
      <w:bookmarkEnd w:id="82"/>
      <w:bookmarkEnd w:id="83"/>
      <w:bookmarkEnd w:id="84"/>
    </w:p>
    <w:p>
      <w:pPr>
        <w:pStyle w:val="23"/>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2024年一般公共预算支出1,545.85万元，比上年决算数增加62.46万元，增长4.21%，具体情况如下(按</w:t>
      </w:r>
      <w:r>
        <w:rPr>
          <w:rStyle w:val="29"/>
          <w:rFonts w:ascii="仿宋_GB2312" w:hAnsi="仿宋_GB2312" w:eastAsia="仿宋_GB2312" w:cs="仿宋_GB2312"/>
          <w:spacing w:val="0"/>
          <w:kern w:val="0"/>
          <w:sz w:val="32"/>
          <w:szCs w:val="32"/>
        </w:rPr>
        <w:t>项级科目</w:t>
      </w:r>
      <w:r>
        <w:rPr>
          <w:rFonts w:ascii="仿宋_GB2312" w:hAnsi="仿宋_GB2312" w:eastAsia="仿宋_GB2312" w:cs="仿宋_GB2312"/>
          <w:spacing w:val="0"/>
          <w:kern w:val="0"/>
          <w:sz w:val="32"/>
          <w:szCs w:val="32"/>
        </w:rPr>
        <w:t>分类统计)：</w:t>
      </w:r>
    </w:p>
    <w:p>
      <w:pPr>
        <w:widowControl w:val="0"/>
        <w:wordWrap/>
        <w:adjustRightInd/>
        <w:snapToGrid/>
        <w:spacing w:line="600" w:lineRule="atLeast"/>
        <w:ind w:firstLine="640" w:firstLineChars="200"/>
        <w:jc w:val="left"/>
        <w:textAlignment w:val="auto"/>
        <w:rPr>
          <w:rFonts w:hint="eastAsia" w:ascii="Times New Roman" w:hAnsi="Times New Roman" w:eastAsia="仿宋_GB2312" w:cs="Times New Roman"/>
          <w:kern w:val="0"/>
          <w:sz w:val="24"/>
          <w:lang w:eastAsia="zh-CN"/>
        </w:rPr>
      </w:pPr>
      <w:r>
        <w:rPr>
          <w:rFonts w:ascii="Arial" w:hAnsi="Arial" w:eastAsia="Arial" w:cs="Arial"/>
          <w:spacing w:val="0"/>
          <w:kern w:val="0"/>
          <w:sz w:val="32"/>
          <w:szCs w:val="32"/>
        </w:rPr>
        <w:t>  </w:t>
      </w:r>
      <w:r>
        <w:rPr>
          <w:rFonts w:ascii="仿宋_GB2312" w:hAnsi="仿宋_GB2312" w:eastAsia="仿宋_GB2312" w:cs="仿宋_GB2312"/>
          <w:spacing w:val="0"/>
          <w:kern w:val="0"/>
          <w:sz w:val="32"/>
          <w:szCs w:val="32"/>
        </w:rPr>
        <w:t>（一）2080501 行政单位离退休 23.57万元，较上年决算数增加2.96万元，增长14.37%。主要原因是</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color w:val="000000"/>
          <w:sz w:val="32"/>
          <w:szCs w:val="32"/>
          <w:lang w:eastAsia="zh-CN"/>
        </w:rPr>
        <w:t>退休人员生活补助按规定比去年标准提高，经费支出增加。</w:t>
      </w:r>
      <w:r>
        <w:rPr>
          <w:rFonts w:hint="eastAsia" w:ascii="仿宋_GB2312" w:hAnsi="仿宋_GB2312" w:eastAsia="仿宋_GB2312" w:cs="仿宋_GB2312"/>
          <w:spacing w:val="0"/>
          <w:kern w:val="0"/>
          <w:sz w:val="32"/>
          <w:szCs w:val="32"/>
        </w:rPr>
        <w:br/>
      </w:r>
      <w:r>
        <w:rPr>
          <w:rFonts w:ascii="Arial" w:hAnsi="Arial" w:eastAsia="Arial" w:cs="Arial"/>
          <w:spacing w:val="0"/>
          <w:kern w:val="0"/>
          <w:sz w:val="32"/>
          <w:szCs w:val="32"/>
        </w:rPr>
        <w:t>  </w:t>
      </w:r>
      <w:r>
        <w:rPr>
          <w:rFonts w:ascii="仿宋_GB2312" w:hAnsi="仿宋_GB2312" w:eastAsia="仿宋_GB2312" w:cs="仿宋_GB2312"/>
          <w:spacing w:val="0"/>
          <w:kern w:val="0"/>
          <w:sz w:val="32"/>
          <w:szCs w:val="32"/>
        </w:rPr>
        <w:t>（二）2080505 机关事业单位基本养老保险缴费支出 14.24万元，较上年决算数增加4.47万元，增长45.69%。主要原因是</w:t>
      </w:r>
      <w:r>
        <w:rPr>
          <w:rFonts w:hint="eastAsia" w:ascii="仿宋_GB2312" w:hAnsi="仿宋_GB2312" w:eastAsia="仿宋_GB2312" w:cs="仿宋_GB2312"/>
          <w:spacing w:val="0"/>
          <w:kern w:val="0"/>
          <w:sz w:val="32"/>
          <w:szCs w:val="32"/>
          <w:lang w:eastAsia="zh-CN"/>
        </w:rPr>
        <w:t>：按要求计算，基数增加，支出相对增加。</w:t>
      </w:r>
      <w:r>
        <w:rPr>
          <w:rFonts w:ascii="仿宋_GB2312" w:hAnsi="仿宋_GB2312" w:eastAsia="仿宋_GB2312" w:cs="仿宋_GB2312"/>
          <w:spacing w:val="0"/>
          <w:kern w:val="0"/>
          <w:sz w:val="32"/>
          <w:szCs w:val="32"/>
        </w:rPr>
        <w:br/>
      </w:r>
      <w:r>
        <w:rPr>
          <w:rFonts w:ascii="Arial" w:hAnsi="Arial" w:eastAsia="Arial" w:cs="Arial"/>
          <w:spacing w:val="0"/>
          <w:kern w:val="0"/>
          <w:sz w:val="32"/>
          <w:szCs w:val="32"/>
        </w:rPr>
        <w:t>  </w:t>
      </w:r>
      <w:r>
        <w:rPr>
          <w:rFonts w:ascii="仿宋_GB2312" w:hAnsi="仿宋_GB2312" w:eastAsia="仿宋_GB2312" w:cs="仿宋_GB2312"/>
          <w:spacing w:val="0"/>
          <w:kern w:val="0"/>
          <w:sz w:val="32"/>
          <w:szCs w:val="32"/>
        </w:rPr>
        <w:t>（三）2080506 机关事业单位职业年金缴费支出 7.12万元，较上年决算数增加2.23万元，增长45.69%。主要原因是</w:t>
      </w:r>
      <w:r>
        <w:rPr>
          <w:rFonts w:hint="eastAsia" w:ascii="仿宋_GB2312" w:hAnsi="仿宋_GB2312" w:eastAsia="仿宋_GB2312" w:cs="仿宋_GB2312"/>
          <w:spacing w:val="0"/>
          <w:kern w:val="0"/>
          <w:sz w:val="32"/>
          <w:szCs w:val="32"/>
          <w:lang w:eastAsia="zh-CN"/>
        </w:rPr>
        <w:t>：按要求计算，基数增加，支出相对增加。</w:t>
      </w:r>
      <w:r>
        <w:rPr>
          <w:rFonts w:ascii="仿宋_GB2312" w:hAnsi="仿宋_GB2312" w:eastAsia="仿宋_GB2312" w:cs="仿宋_GB2312"/>
          <w:spacing w:val="0"/>
          <w:kern w:val="0"/>
          <w:sz w:val="32"/>
          <w:szCs w:val="32"/>
        </w:rPr>
        <w:br/>
      </w:r>
      <w:r>
        <w:rPr>
          <w:rFonts w:ascii="Arial" w:hAnsi="Arial" w:eastAsia="Arial" w:cs="Arial"/>
          <w:spacing w:val="0"/>
          <w:kern w:val="0"/>
          <w:sz w:val="32"/>
          <w:szCs w:val="32"/>
        </w:rPr>
        <w:t>  </w:t>
      </w:r>
      <w:r>
        <w:rPr>
          <w:rFonts w:ascii="仿宋_GB2312" w:hAnsi="仿宋_GB2312" w:eastAsia="仿宋_GB2312" w:cs="仿宋_GB2312"/>
          <w:spacing w:val="0"/>
          <w:kern w:val="0"/>
          <w:sz w:val="32"/>
          <w:szCs w:val="32"/>
        </w:rPr>
        <w:t>（四）2100101 行政运行 179.59万元，较上年决算数增加31.43万元，增长21.22%。主要原因是</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color w:val="000000"/>
          <w:sz w:val="32"/>
          <w:szCs w:val="32"/>
          <w:lang w:eastAsia="zh-CN"/>
        </w:rPr>
        <w:t>增加一名军转干部，人员工资及经费支出增加。</w:t>
      </w:r>
      <w:r>
        <w:rPr>
          <w:rFonts w:hint="eastAsia" w:ascii="仿宋_GB2312" w:hAnsi="仿宋_GB2312" w:eastAsia="仿宋_GB2312" w:cs="仿宋_GB2312"/>
          <w:spacing w:val="0"/>
          <w:kern w:val="0"/>
          <w:sz w:val="32"/>
          <w:szCs w:val="32"/>
        </w:rPr>
        <w:br/>
      </w:r>
      <w:r>
        <w:rPr>
          <w:rFonts w:ascii="Arial" w:hAnsi="Arial" w:eastAsia="Arial" w:cs="Arial"/>
          <w:spacing w:val="0"/>
          <w:kern w:val="0"/>
          <w:sz w:val="32"/>
          <w:szCs w:val="32"/>
        </w:rPr>
        <w:t>  </w:t>
      </w:r>
      <w:r>
        <w:rPr>
          <w:rFonts w:ascii="仿宋_GB2312" w:hAnsi="仿宋_GB2312" w:eastAsia="仿宋_GB2312" w:cs="仿宋_GB2312"/>
          <w:spacing w:val="0"/>
          <w:kern w:val="0"/>
          <w:sz w:val="32"/>
          <w:szCs w:val="32"/>
        </w:rPr>
        <w:t>（五）2100799 其他计划生育事务支出 1,312.10万元，较上年决算数增加18.47万元，增长1.43%。主要原因是</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color w:val="000000"/>
          <w:sz w:val="32"/>
          <w:szCs w:val="32"/>
        </w:rPr>
        <w:t>计生家庭意外伤害保险</w:t>
      </w:r>
      <w:r>
        <w:rPr>
          <w:rFonts w:hint="eastAsia" w:ascii="仿宋_GB2312" w:hAnsi="仿宋_GB2312" w:eastAsia="仿宋_GB2312" w:cs="仿宋_GB2312"/>
          <w:color w:val="000000"/>
          <w:sz w:val="32"/>
          <w:szCs w:val="32"/>
          <w:lang w:eastAsia="zh-CN"/>
        </w:rPr>
        <w:t>及</w:t>
      </w:r>
      <w:r>
        <w:rPr>
          <w:rFonts w:hint="eastAsia" w:ascii="仿宋_GB2312" w:hAnsi="仿宋_GB2312" w:eastAsia="仿宋_GB2312" w:cs="仿宋_GB2312"/>
          <w:color w:val="000000"/>
          <w:sz w:val="32"/>
          <w:szCs w:val="32"/>
        </w:rPr>
        <w:t>计生失独家庭住院护理保险</w:t>
      </w:r>
      <w:r>
        <w:rPr>
          <w:rFonts w:hint="eastAsia" w:ascii="仿宋_GB2312" w:hAnsi="仿宋_GB2312" w:eastAsia="仿宋_GB2312" w:cs="仿宋_GB2312"/>
          <w:color w:val="000000"/>
          <w:sz w:val="32"/>
          <w:szCs w:val="32"/>
          <w:lang w:eastAsia="zh-CN"/>
        </w:rPr>
        <w:t>按投保人数逐年递增计算，本年度经费支出增加。</w:t>
      </w:r>
      <w:r>
        <w:rPr>
          <w:rFonts w:hint="eastAsia" w:ascii="仿宋_GB2312" w:hAnsi="仿宋_GB2312" w:eastAsia="仿宋_GB2312" w:cs="仿宋_GB2312"/>
          <w:spacing w:val="0"/>
          <w:kern w:val="0"/>
          <w:sz w:val="32"/>
          <w:szCs w:val="32"/>
        </w:rPr>
        <w:br/>
      </w:r>
      <w:r>
        <w:rPr>
          <w:rFonts w:ascii="Arial" w:hAnsi="Arial" w:eastAsia="Arial" w:cs="Arial"/>
          <w:spacing w:val="0"/>
          <w:kern w:val="0"/>
          <w:sz w:val="32"/>
          <w:szCs w:val="32"/>
        </w:rPr>
        <w:t>  </w:t>
      </w:r>
      <w:r>
        <w:rPr>
          <w:rFonts w:ascii="仿宋_GB2312" w:hAnsi="仿宋_GB2312" w:eastAsia="仿宋_GB2312" w:cs="仿宋_GB2312"/>
          <w:spacing w:val="0"/>
          <w:kern w:val="0"/>
          <w:sz w:val="32"/>
          <w:szCs w:val="32"/>
        </w:rPr>
        <w:t>（六）2101101 行政单位医疗 6.10万元，较上年决算数增加1.91万元，增长45.69%。主要原因是</w:t>
      </w:r>
      <w:r>
        <w:rPr>
          <w:rFonts w:hint="eastAsia" w:ascii="仿宋_GB2312" w:hAnsi="仿宋_GB2312" w:eastAsia="仿宋_GB2312" w:cs="仿宋_GB2312"/>
          <w:spacing w:val="0"/>
          <w:kern w:val="0"/>
          <w:sz w:val="32"/>
          <w:szCs w:val="32"/>
          <w:lang w:eastAsia="zh-CN"/>
        </w:rPr>
        <w:t>：按要求计算，基数增加，支出相对增加。</w:t>
      </w:r>
      <w:r>
        <w:rPr>
          <w:rFonts w:ascii="仿宋_GB2312" w:hAnsi="仿宋_GB2312" w:eastAsia="仿宋_GB2312" w:cs="仿宋_GB2312"/>
          <w:spacing w:val="0"/>
          <w:kern w:val="0"/>
          <w:sz w:val="32"/>
          <w:szCs w:val="32"/>
        </w:rPr>
        <w:br/>
      </w:r>
      <w:r>
        <w:rPr>
          <w:rFonts w:ascii="Arial" w:hAnsi="Arial" w:eastAsia="Arial" w:cs="Arial"/>
          <w:spacing w:val="0"/>
          <w:kern w:val="0"/>
          <w:sz w:val="32"/>
          <w:szCs w:val="32"/>
        </w:rPr>
        <w:t>  </w:t>
      </w:r>
      <w:r>
        <w:rPr>
          <w:rFonts w:ascii="仿宋_GB2312" w:hAnsi="仿宋_GB2312" w:eastAsia="仿宋_GB2312" w:cs="仿宋_GB2312"/>
          <w:spacing w:val="0"/>
          <w:kern w:val="0"/>
          <w:sz w:val="32"/>
          <w:szCs w:val="32"/>
        </w:rPr>
        <w:t>（七）2101103 公务员医疗补助 3.12万元，较上年决算数增加0.98万元，增长45.69%。主要原因是</w:t>
      </w:r>
      <w:r>
        <w:rPr>
          <w:rFonts w:hint="eastAsia" w:ascii="仿宋_GB2312" w:hAnsi="仿宋_GB2312" w:eastAsia="仿宋_GB2312" w:cs="仿宋_GB2312"/>
          <w:spacing w:val="0"/>
          <w:kern w:val="0"/>
          <w:sz w:val="32"/>
          <w:szCs w:val="32"/>
          <w:lang w:eastAsia="zh-CN"/>
        </w:rPr>
        <w:t>：按要求计算，基数增加，支出相对增加。</w:t>
      </w:r>
    </w:p>
    <w:p>
      <w:pPr>
        <w:pStyle w:val="5"/>
        <w:spacing w:before="100" w:after="100" w:line="600" w:lineRule="atLeast"/>
        <w:ind w:left="0" w:right="0" w:firstLine="640" w:firstLineChars="0"/>
        <w:rPr>
          <w:rFonts w:ascii="Times New Roman" w:hAnsi="Times New Roman" w:eastAsia="Times New Roman" w:cs="Times New Roman"/>
          <w:b/>
          <w:bCs/>
          <w:kern w:val="0"/>
          <w:sz w:val="28"/>
          <w:szCs w:val="28"/>
        </w:rPr>
      </w:pPr>
      <w:bookmarkStart w:id="85" w:name="_Toc256000083"/>
      <w:bookmarkStart w:id="86" w:name="_Toc256000114"/>
      <w:bookmarkStart w:id="87" w:name="_Toc256000021"/>
      <w:bookmarkStart w:id="88" w:name="_Toc256000052"/>
      <w:r>
        <w:rPr>
          <w:rFonts w:ascii="黑体" w:hAnsi="黑体" w:eastAsia="黑体" w:cs="黑体"/>
          <w:b/>
          <w:spacing w:val="0"/>
        </w:rPr>
        <w:t>四、政府性基金预算财政拨款支出决算情况说明</w:t>
      </w:r>
      <w:bookmarkEnd w:id="85"/>
      <w:bookmarkEnd w:id="86"/>
      <w:bookmarkEnd w:id="87"/>
      <w:bookmarkEnd w:id="88"/>
    </w:p>
    <w:p>
      <w:pPr>
        <w:pStyle w:val="23"/>
        <w:widowControl/>
        <w:spacing w:before="100" w:after="100" w:line="600" w:lineRule="atLeast"/>
        <w:ind w:left="0" w:right="0" w:firstLine="704"/>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2024年度政府性基金支出0万元，比上年决算数增加0万元，增长0%，具体情况如下(按项级科目统计)：</w:t>
      </w:r>
    </w:p>
    <w:p>
      <w:pPr>
        <w:pStyle w:val="23"/>
        <w:widowControl/>
        <w:spacing w:before="100" w:after="100" w:line="600" w:lineRule="atLeast"/>
        <w:ind w:left="0" w:right="0"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spacing w:val="0"/>
          <w:kern w:val="0"/>
          <w:sz w:val="32"/>
          <w:szCs w:val="32"/>
        </w:rPr>
        <w:t>本单位2024年度没有使用政府性基金预算财政拨款安排的支出。</w:t>
      </w:r>
    </w:p>
    <w:p>
      <w:pPr>
        <w:pStyle w:val="5"/>
        <w:spacing w:before="100" w:after="100" w:line="600" w:lineRule="atLeast"/>
        <w:ind w:left="0" w:right="0" w:firstLine="640" w:firstLineChars="0"/>
        <w:rPr>
          <w:rFonts w:ascii="Times New Roman" w:hAnsi="Times New Roman" w:eastAsia="Times New Roman" w:cs="Times New Roman"/>
          <w:b/>
          <w:bCs/>
          <w:kern w:val="0"/>
          <w:sz w:val="28"/>
          <w:szCs w:val="28"/>
        </w:rPr>
      </w:pPr>
      <w:bookmarkStart w:id="89" w:name="_Toc256000084"/>
      <w:bookmarkStart w:id="90" w:name="_Toc256000022"/>
      <w:bookmarkStart w:id="91" w:name="_Toc256000053"/>
      <w:bookmarkStart w:id="92" w:name="_Toc256000115"/>
      <w:r>
        <w:rPr>
          <w:rFonts w:ascii="黑体" w:hAnsi="黑体" w:eastAsia="黑体" w:cs="黑体"/>
          <w:b/>
          <w:spacing w:val="0"/>
        </w:rPr>
        <w:t>五、国有资本经营预算财政拨款支出决算情况说明</w:t>
      </w:r>
      <w:bookmarkEnd w:id="89"/>
      <w:bookmarkEnd w:id="90"/>
      <w:bookmarkEnd w:id="91"/>
      <w:bookmarkEnd w:id="92"/>
    </w:p>
    <w:p>
      <w:pPr>
        <w:pStyle w:val="23"/>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2024年度国有资本经营预算支出0万元，比上年决算数增加0万元，增长0%，具体情况如下(按项级科目统计)：</w:t>
      </w:r>
    </w:p>
    <w:p>
      <w:pPr>
        <w:pStyle w:val="23"/>
        <w:widowControl/>
        <w:spacing w:before="100" w:after="100" w:line="600" w:lineRule="atLeast"/>
        <w:ind w:left="0" w:right="0" w:firstLine="640"/>
        <w:jc w:val="left"/>
        <w:rPr>
          <w:rFonts w:ascii="Times New Roman" w:hAnsi="Times New Roman" w:eastAsia="Times New Roman" w:cs="Times New Roman"/>
          <w:kern w:val="0"/>
          <w:sz w:val="24"/>
        </w:rPr>
      </w:pPr>
      <w:r>
        <w:rPr>
          <w:rFonts w:hint="eastAsia" w:ascii="仿宋_GB2312" w:hAnsi="仿宋_GB2312" w:eastAsia="仿宋_GB2312" w:cs="仿宋_GB2312"/>
          <w:spacing w:val="0"/>
          <w:kern w:val="0"/>
          <w:sz w:val="32"/>
          <w:szCs w:val="32"/>
        </w:rPr>
        <w:t>本单位2024年度没有使用国有资本经营预算财政拨款安排的支出。</w:t>
      </w:r>
    </w:p>
    <w:p>
      <w:pPr>
        <w:pStyle w:val="5"/>
        <w:spacing w:before="100" w:after="100" w:line="600" w:lineRule="atLeast"/>
        <w:ind w:left="0" w:right="0" w:firstLine="640" w:firstLineChars="0"/>
        <w:rPr>
          <w:rFonts w:ascii="Times New Roman" w:hAnsi="Times New Roman" w:eastAsia="Times New Roman" w:cs="Times New Roman"/>
          <w:b/>
          <w:bCs/>
          <w:kern w:val="0"/>
          <w:sz w:val="28"/>
          <w:szCs w:val="28"/>
        </w:rPr>
      </w:pPr>
      <w:bookmarkStart w:id="93" w:name="_Toc256000023"/>
      <w:bookmarkStart w:id="94" w:name="_Toc256000054"/>
      <w:bookmarkStart w:id="95" w:name="_Toc256000116"/>
      <w:bookmarkStart w:id="96" w:name="_Toc256000085"/>
      <w:r>
        <w:rPr>
          <w:rFonts w:ascii="黑体" w:hAnsi="黑体" w:eastAsia="黑体" w:cs="黑体"/>
          <w:b/>
          <w:spacing w:val="0"/>
        </w:rPr>
        <w:t>六、一般公共预算财政拨款基本支出决算情况说明</w:t>
      </w:r>
      <w:bookmarkEnd w:id="93"/>
      <w:bookmarkEnd w:id="94"/>
      <w:bookmarkEnd w:id="95"/>
      <w:bookmarkEnd w:id="96"/>
    </w:p>
    <w:p>
      <w:pPr>
        <w:pStyle w:val="23"/>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2024年度一般公共预算财政拨款基本支出233.75万元，其中：</w:t>
      </w:r>
    </w:p>
    <w:p>
      <w:pPr>
        <w:pStyle w:val="23"/>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一）人员经费192.55万元，主要包括：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pPr>
        <w:pStyle w:val="23"/>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二）公用经费41.20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pStyle w:val="5"/>
        <w:spacing w:before="100" w:after="100" w:line="600" w:lineRule="atLeast"/>
        <w:ind w:left="0" w:right="0" w:firstLine="640" w:firstLineChars="0"/>
        <w:rPr>
          <w:rFonts w:ascii="Times New Roman" w:hAnsi="Times New Roman" w:eastAsia="Times New Roman" w:cs="Times New Roman"/>
          <w:b/>
          <w:bCs/>
          <w:kern w:val="0"/>
          <w:sz w:val="28"/>
          <w:szCs w:val="28"/>
        </w:rPr>
      </w:pPr>
      <w:bookmarkStart w:id="97" w:name="_Toc256000024"/>
      <w:bookmarkStart w:id="98" w:name="_Toc256000086"/>
      <w:bookmarkStart w:id="99" w:name="_Toc256000055"/>
      <w:bookmarkStart w:id="100" w:name="_Toc256000117"/>
      <w:r>
        <w:rPr>
          <w:rFonts w:ascii="黑体" w:hAnsi="黑体" w:eastAsia="黑体" w:cs="黑体"/>
          <w:b/>
          <w:spacing w:val="0"/>
        </w:rPr>
        <w:t>七、一般公共预算拨款“三公”经费支出决算情况说明</w:t>
      </w:r>
      <w:bookmarkEnd w:id="97"/>
      <w:bookmarkEnd w:id="98"/>
      <w:bookmarkEnd w:id="99"/>
      <w:bookmarkEnd w:id="100"/>
    </w:p>
    <w:p>
      <w:pPr>
        <w:pStyle w:val="23"/>
        <w:widowControl/>
        <w:spacing w:before="100" w:after="100" w:line="600" w:lineRule="atLeast"/>
        <w:ind w:left="0" w:right="0" w:firstLine="704"/>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2024年度一般公共预算拨款“三公”经费支出0万元，完成全年预算的</w:t>
      </w:r>
      <w:r>
        <w:rPr>
          <w:rFonts w:ascii="仿宋_GB2312" w:hAnsi="仿宋_GB2312" w:eastAsia="仿宋_GB2312" w:cs="仿宋_GB2312"/>
          <w:kern w:val="0"/>
          <w:sz w:val="32"/>
          <w:szCs w:val="32"/>
        </w:rPr>
        <w:t>100%</w:t>
      </w:r>
      <w:r>
        <w:rPr>
          <w:rFonts w:ascii="仿宋_GB2312" w:hAnsi="仿宋_GB2312" w:eastAsia="仿宋_GB2312" w:cs="仿宋_GB2312"/>
          <w:spacing w:val="0"/>
          <w:kern w:val="0"/>
          <w:sz w:val="32"/>
          <w:szCs w:val="32"/>
        </w:rPr>
        <w:t>；较上年增加0万元，增长0%。</w:t>
      </w:r>
      <w:r>
        <w:rPr>
          <w:rFonts w:hint="eastAsia" w:ascii="仿宋_GB2312" w:hAnsi="仿宋_GB2312" w:eastAsia="仿宋_GB2312" w:cs="仿宋_GB2312"/>
          <w:kern w:val="0"/>
          <w:sz w:val="32"/>
          <w:szCs w:val="32"/>
        </w:rPr>
        <w:t>与全年预算（或上年决算）持平。</w:t>
      </w:r>
      <w:r>
        <w:rPr>
          <w:rFonts w:ascii="仿宋_GB2312" w:hAnsi="仿宋_GB2312" w:eastAsia="仿宋_GB2312" w:cs="仿宋_GB2312"/>
          <w:spacing w:val="0"/>
          <w:kern w:val="0"/>
          <w:sz w:val="32"/>
          <w:szCs w:val="32"/>
        </w:rPr>
        <w:t>主要原因是</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kern w:val="0"/>
          <w:sz w:val="32"/>
          <w:szCs w:val="32"/>
          <w:lang w:eastAsia="zh-CN"/>
        </w:rPr>
        <w:t>本年无“三公”经费支出</w:t>
      </w:r>
      <w:r>
        <w:rPr>
          <w:rFonts w:hint="eastAsia" w:ascii="仿宋_GB2312" w:hAnsi="仿宋_GB2312" w:eastAsia="仿宋_GB2312" w:cs="仿宋_GB2312"/>
          <w:kern w:val="0"/>
          <w:sz w:val="32"/>
          <w:szCs w:val="32"/>
        </w:rPr>
        <w:t>。</w:t>
      </w:r>
      <w:r>
        <w:rPr>
          <w:rFonts w:ascii="仿宋_GB2312" w:hAnsi="仿宋_GB2312" w:eastAsia="仿宋_GB2312" w:cs="仿宋_GB2312"/>
          <w:spacing w:val="0"/>
          <w:kern w:val="0"/>
          <w:sz w:val="32"/>
          <w:szCs w:val="32"/>
        </w:rPr>
        <w:t>具体情况如下：</w:t>
      </w:r>
    </w:p>
    <w:p>
      <w:pPr>
        <w:pStyle w:val="23"/>
        <w:widowControl/>
        <w:spacing w:before="100" w:after="100" w:line="600" w:lineRule="atLeast"/>
        <w:ind w:left="0" w:right="0" w:firstLine="704"/>
        <w:jc w:val="left"/>
        <w:rPr>
          <w:rFonts w:hint="eastAsia" w:ascii="Times New Roman" w:hAnsi="Times New Roman" w:eastAsia="仿宋_GB2312" w:cs="Times New Roman"/>
          <w:kern w:val="0"/>
          <w:sz w:val="24"/>
          <w:lang w:eastAsia="zh-CN"/>
        </w:rPr>
      </w:pPr>
      <w:r>
        <w:rPr>
          <w:rFonts w:ascii="仿宋_GB2312" w:hAnsi="仿宋_GB2312" w:eastAsia="仿宋_GB2312" w:cs="仿宋_GB2312"/>
          <w:spacing w:val="0"/>
          <w:kern w:val="0"/>
          <w:sz w:val="32"/>
          <w:szCs w:val="32"/>
        </w:rPr>
        <w:t>（一）因公出国（境）费支出0万元，完成全年预算的</w:t>
      </w:r>
      <w:r>
        <w:rPr>
          <w:rFonts w:ascii="仿宋_GB2312" w:hAnsi="仿宋_GB2312" w:eastAsia="仿宋_GB2312" w:cs="仿宋_GB2312"/>
          <w:kern w:val="0"/>
          <w:sz w:val="32"/>
          <w:szCs w:val="32"/>
        </w:rPr>
        <w:t>100%</w:t>
      </w:r>
      <w:r>
        <w:rPr>
          <w:rFonts w:ascii="仿宋_GB2312" w:hAnsi="仿宋_GB2312" w:eastAsia="仿宋_GB2312" w:cs="仿宋_GB2312"/>
          <w:spacing w:val="0"/>
          <w:kern w:val="0"/>
          <w:sz w:val="32"/>
          <w:szCs w:val="32"/>
        </w:rPr>
        <w:t>；较上年增加0万元，增长0%。</w:t>
      </w:r>
      <w:r>
        <w:rPr>
          <w:rFonts w:hint="eastAsia" w:ascii="仿宋_GB2312" w:hAnsi="仿宋_GB2312" w:eastAsia="仿宋_GB2312" w:cs="仿宋_GB2312"/>
          <w:kern w:val="0"/>
          <w:sz w:val="32"/>
          <w:szCs w:val="32"/>
        </w:rPr>
        <w:t>与全年预算（或上年决算）持平。</w:t>
      </w:r>
      <w:r>
        <w:rPr>
          <w:rFonts w:ascii="仿宋_GB2312" w:hAnsi="仿宋_GB2312" w:eastAsia="仿宋_GB2312" w:cs="仿宋_GB2312"/>
          <w:spacing w:val="0"/>
          <w:kern w:val="0"/>
          <w:sz w:val="32"/>
          <w:szCs w:val="32"/>
        </w:rPr>
        <w:t>全年安排本单位组织的出国团组0 个，参加其他单位出国团组个；全年因公出国（境）累计0人次。主要是</w:t>
      </w:r>
      <w:r>
        <w:rPr>
          <w:rFonts w:hint="eastAsia" w:ascii="仿宋_GB2312" w:hAnsi="仿宋_GB2312" w:eastAsia="仿宋_GB2312" w:cs="仿宋_GB2312"/>
          <w:spacing w:val="0"/>
          <w:kern w:val="0"/>
          <w:sz w:val="32"/>
          <w:szCs w:val="32"/>
          <w:lang w:eastAsia="zh-CN"/>
        </w:rPr>
        <w:t>：本年无因公出国（境）费用支出。</w:t>
      </w:r>
    </w:p>
    <w:p>
      <w:pPr>
        <w:pStyle w:val="23"/>
        <w:widowControl/>
        <w:spacing w:before="100" w:after="100" w:line="600" w:lineRule="atLeast"/>
        <w:ind w:left="0" w:right="0" w:firstLine="645"/>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（二）公务用车购置及运行费支出0万元，完成全年预算的</w:t>
      </w:r>
      <w:r>
        <w:rPr>
          <w:rFonts w:ascii="仿宋_GB2312" w:hAnsi="仿宋_GB2312" w:eastAsia="仿宋_GB2312" w:cs="仿宋_GB2312"/>
          <w:kern w:val="0"/>
          <w:sz w:val="32"/>
          <w:szCs w:val="32"/>
        </w:rPr>
        <w:t>100%</w:t>
      </w:r>
      <w:r>
        <w:rPr>
          <w:rFonts w:ascii="仿宋_GB2312" w:hAnsi="仿宋_GB2312" w:eastAsia="仿宋_GB2312" w:cs="仿宋_GB2312"/>
          <w:spacing w:val="0"/>
          <w:kern w:val="0"/>
          <w:sz w:val="32"/>
          <w:szCs w:val="32"/>
        </w:rPr>
        <w:t>；较上年增加0万元，增长0%。</w:t>
      </w:r>
      <w:r>
        <w:rPr>
          <w:rFonts w:hint="eastAsia" w:ascii="仿宋_GB2312" w:hAnsi="仿宋_GB2312" w:eastAsia="仿宋_GB2312" w:cs="仿宋_GB2312"/>
          <w:kern w:val="0"/>
          <w:sz w:val="32"/>
          <w:szCs w:val="32"/>
        </w:rPr>
        <w:t>与全年预算（或上年决算）持平。</w:t>
      </w:r>
      <w:r>
        <w:rPr>
          <w:rFonts w:ascii="仿宋_GB2312" w:hAnsi="仿宋_GB2312" w:eastAsia="仿宋_GB2312" w:cs="仿宋_GB2312"/>
          <w:spacing w:val="0"/>
          <w:kern w:val="0"/>
          <w:sz w:val="32"/>
          <w:szCs w:val="32"/>
        </w:rPr>
        <w:t>其中：</w:t>
      </w:r>
    </w:p>
    <w:p>
      <w:pPr>
        <w:pStyle w:val="23"/>
        <w:widowControl/>
        <w:spacing w:before="100" w:after="100" w:line="600" w:lineRule="atLeast"/>
        <w:ind w:left="0" w:right="0" w:firstLine="645"/>
        <w:jc w:val="left"/>
        <w:rPr>
          <w:rFonts w:hint="eastAsia" w:ascii="Times New Roman" w:hAnsi="Times New Roman" w:eastAsia="仿宋_GB2312" w:cs="Times New Roman"/>
          <w:kern w:val="0"/>
          <w:sz w:val="24"/>
          <w:lang w:eastAsia="zh-CN"/>
        </w:rPr>
      </w:pPr>
      <w:r>
        <w:rPr>
          <w:rFonts w:ascii="仿宋_GB2312" w:hAnsi="仿宋_GB2312" w:eastAsia="仿宋_GB2312" w:cs="仿宋_GB2312"/>
          <w:spacing w:val="0"/>
          <w:kern w:val="0"/>
          <w:sz w:val="32"/>
          <w:szCs w:val="32"/>
        </w:rPr>
        <w:t>公务用车购置费支出0万元，完成全年预算的</w:t>
      </w:r>
      <w:r>
        <w:rPr>
          <w:rFonts w:ascii="仿宋_GB2312" w:hAnsi="仿宋_GB2312" w:eastAsia="仿宋_GB2312" w:cs="仿宋_GB2312"/>
          <w:kern w:val="0"/>
          <w:sz w:val="32"/>
          <w:szCs w:val="32"/>
        </w:rPr>
        <w:t>100%</w:t>
      </w:r>
      <w:r>
        <w:rPr>
          <w:rFonts w:ascii="仿宋_GB2312" w:hAnsi="仿宋_GB2312" w:eastAsia="仿宋_GB2312" w:cs="仿宋_GB2312"/>
          <w:spacing w:val="0"/>
          <w:kern w:val="0"/>
          <w:sz w:val="32"/>
          <w:szCs w:val="32"/>
        </w:rPr>
        <w:t>；较上年增加0万元，增长0%。</w:t>
      </w:r>
      <w:r>
        <w:rPr>
          <w:rFonts w:hint="eastAsia" w:ascii="仿宋_GB2312" w:hAnsi="仿宋_GB2312" w:eastAsia="仿宋_GB2312" w:cs="仿宋_GB2312"/>
          <w:kern w:val="0"/>
          <w:sz w:val="32"/>
          <w:szCs w:val="32"/>
        </w:rPr>
        <w:t>与全年预算（或上年决算）持平。</w:t>
      </w:r>
      <w:r>
        <w:rPr>
          <w:rFonts w:ascii="仿宋_GB2312" w:hAnsi="仿宋_GB2312" w:eastAsia="仿宋_GB2312" w:cs="仿宋_GB2312"/>
          <w:spacing w:val="0"/>
          <w:kern w:val="0"/>
          <w:sz w:val="32"/>
          <w:szCs w:val="32"/>
        </w:rPr>
        <w:t>2024年公务用车购置0辆，主要是:</w:t>
      </w:r>
      <w:r>
        <w:rPr>
          <w:rFonts w:hint="eastAsia" w:ascii="仿宋_GB2312" w:hAnsi="仿宋_GB2312" w:eastAsia="仿宋_GB2312" w:cs="仿宋_GB2312"/>
          <w:spacing w:val="0"/>
          <w:kern w:val="0"/>
          <w:sz w:val="32"/>
          <w:szCs w:val="32"/>
          <w:lang w:eastAsia="zh-CN"/>
        </w:rPr>
        <w:t>本年无公务用车购置费用支出。</w:t>
      </w:r>
    </w:p>
    <w:p>
      <w:pPr>
        <w:pStyle w:val="23"/>
        <w:widowControl/>
        <w:spacing w:before="100" w:after="100" w:line="600" w:lineRule="atLeast"/>
        <w:ind w:left="0" w:right="0" w:firstLine="645"/>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公务用车运行费支出0万元，完成全年预算的</w:t>
      </w:r>
      <w:r>
        <w:rPr>
          <w:rFonts w:ascii="仿宋_GB2312" w:hAnsi="仿宋_GB2312" w:eastAsia="仿宋_GB2312" w:cs="仿宋_GB2312"/>
          <w:kern w:val="0"/>
          <w:sz w:val="32"/>
          <w:szCs w:val="32"/>
        </w:rPr>
        <w:t>100%</w:t>
      </w:r>
      <w:r>
        <w:rPr>
          <w:rFonts w:ascii="仿宋_GB2312" w:hAnsi="仿宋_GB2312" w:eastAsia="仿宋_GB2312" w:cs="仿宋_GB2312"/>
          <w:spacing w:val="0"/>
          <w:kern w:val="0"/>
          <w:sz w:val="32"/>
          <w:szCs w:val="32"/>
        </w:rPr>
        <w:t>；较上年增加0万元，增长0%。</w:t>
      </w:r>
      <w:r>
        <w:rPr>
          <w:rFonts w:hint="eastAsia" w:ascii="仿宋_GB2312" w:hAnsi="仿宋_GB2312" w:eastAsia="仿宋_GB2312" w:cs="仿宋_GB2312"/>
          <w:kern w:val="0"/>
          <w:sz w:val="32"/>
          <w:szCs w:val="32"/>
        </w:rPr>
        <w:t>与全年预算（或上年决算）持平。</w:t>
      </w:r>
      <w:r>
        <w:rPr>
          <w:rFonts w:ascii="仿宋_GB2312" w:hAnsi="仿宋_GB2312" w:eastAsia="仿宋_GB2312" w:cs="仿宋_GB2312"/>
          <w:spacing w:val="0"/>
          <w:kern w:val="0"/>
          <w:sz w:val="32"/>
          <w:szCs w:val="32"/>
        </w:rPr>
        <w:t>主要</w:t>
      </w:r>
      <w:r>
        <w:rPr>
          <w:rFonts w:hint="eastAsia" w:ascii="仿宋_GB2312" w:hAnsi="仿宋_GB2312" w:eastAsia="仿宋_GB2312" w:cs="仿宋_GB2312"/>
          <w:spacing w:val="0"/>
          <w:kern w:val="0"/>
          <w:sz w:val="32"/>
          <w:szCs w:val="32"/>
          <w:lang w:eastAsia="zh-CN"/>
        </w:rPr>
        <w:t>是：本年无公务用车运行费用支出</w:t>
      </w:r>
      <w:r>
        <w:rPr>
          <w:rFonts w:ascii="仿宋_GB2312" w:hAnsi="仿宋_GB2312" w:eastAsia="仿宋_GB2312" w:cs="仿宋_GB2312"/>
          <w:spacing w:val="0"/>
          <w:kern w:val="0"/>
          <w:sz w:val="32"/>
          <w:szCs w:val="32"/>
        </w:rPr>
        <w:t>。截至2024年12月31日，本单位公务用车保有量为0 辆。</w:t>
      </w:r>
    </w:p>
    <w:p>
      <w:pPr>
        <w:pStyle w:val="23"/>
        <w:widowControl/>
        <w:spacing w:before="100" w:after="100" w:line="600" w:lineRule="atLeast"/>
        <w:ind w:left="0" w:right="0" w:firstLine="645"/>
        <w:jc w:val="left"/>
        <w:rPr>
          <w:rFonts w:hint="eastAsia" w:ascii="Times New Roman" w:hAnsi="Times New Roman" w:eastAsia="仿宋_GB2312" w:cs="Times New Roman"/>
          <w:kern w:val="0"/>
          <w:sz w:val="24"/>
          <w:lang w:eastAsia="zh-CN"/>
        </w:rPr>
      </w:pPr>
      <w:r>
        <w:rPr>
          <w:rFonts w:ascii="仿宋_GB2312" w:hAnsi="仿宋_GB2312" w:eastAsia="仿宋_GB2312" w:cs="仿宋_GB2312"/>
          <w:spacing w:val="0"/>
          <w:kern w:val="0"/>
          <w:sz w:val="32"/>
          <w:szCs w:val="32"/>
        </w:rPr>
        <w:t>（三）公务接待费支出0万元，完成全年预算的</w:t>
      </w:r>
      <w:r>
        <w:rPr>
          <w:rFonts w:ascii="仿宋_GB2312" w:hAnsi="仿宋_GB2312" w:eastAsia="仿宋_GB2312" w:cs="仿宋_GB2312"/>
          <w:kern w:val="0"/>
          <w:sz w:val="32"/>
          <w:szCs w:val="32"/>
        </w:rPr>
        <w:t>100%</w:t>
      </w:r>
      <w:r>
        <w:rPr>
          <w:rFonts w:ascii="仿宋_GB2312" w:hAnsi="仿宋_GB2312" w:eastAsia="仿宋_GB2312" w:cs="仿宋_GB2312"/>
          <w:spacing w:val="0"/>
          <w:kern w:val="0"/>
          <w:sz w:val="32"/>
          <w:szCs w:val="32"/>
        </w:rPr>
        <w:t>；较上年增加0万元，增长0%。</w:t>
      </w:r>
      <w:r>
        <w:rPr>
          <w:rFonts w:hint="eastAsia" w:ascii="仿宋_GB2312" w:hAnsi="仿宋_GB2312" w:eastAsia="仿宋_GB2312" w:cs="仿宋_GB2312"/>
          <w:kern w:val="0"/>
          <w:sz w:val="32"/>
          <w:szCs w:val="32"/>
        </w:rPr>
        <w:t>与全年预算（或上年决算）持平。</w:t>
      </w:r>
      <w:r>
        <w:rPr>
          <w:rFonts w:ascii="仿宋_GB2312" w:hAnsi="仿宋_GB2312" w:eastAsia="仿宋_GB2312" w:cs="仿宋_GB2312"/>
          <w:spacing w:val="0"/>
          <w:kern w:val="0"/>
          <w:sz w:val="32"/>
          <w:szCs w:val="32"/>
        </w:rPr>
        <w:t>主要是</w:t>
      </w:r>
      <w:r>
        <w:rPr>
          <w:rFonts w:hint="eastAsia" w:ascii="仿宋_GB2312" w:hAnsi="仿宋_GB2312" w:eastAsia="仿宋_GB2312" w:cs="仿宋_GB2312"/>
          <w:spacing w:val="0"/>
          <w:kern w:val="0"/>
          <w:sz w:val="32"/>
          <w:szCs w:val="32"/>
          <w:lang w:eastAsia="zh-CN"/>
        </w:rPr>
        <w:t>：本年度无公务接待费用支出</w:t>
      </w:r>
      <w:r>
        <w:rPr>
          <w:rFonts w:ascii="仿宋_GB2312" w:hAnsi="仿宋_GB2312" w:eastAsia="仿宋_GB2312" w:cs="仿宋_GB2312"/>
          <w:spacing w:val="0"/>
          <w:kern w:val="0"/>
          <w:sz w:val="32"/>
          <w:szCs w:val="32"/>
        </w:rPr>
        <w:t>。累计接待0批次、0人次。主要是</w:t>
      </w:r>
      <w:r>
        <w:rPr>
          <w:rFonts w:hint="eastAsia" w:ascii="仿宋_GB2312" w:hAnsi="仿宋_GB2312" w:eastAsia="仿宋_GB2312" w:cs="仿宋_GB2312"/>
          <w:spacing w:val="0"/>
          <w:kern w:val="0"/>
          <w:sz w:val="32"/>
          <w:szCs w:val="32"/>
          <w:lang w:eastAsia="zh-CN"/>
        </w:rPr>
        <w:t>：本年度无公务接待。</w:t>
      </w:r>
    </w:p>
    <w:p>
      <w:pPr>
        <w:pStyle w:val="5"/>
        <w:spacing w:before="100" w:after="100" w:line="600" w:lineRule="atLeast"/>
        <w:ind w:left="0" w:right="0" w:firstLine="640" w:firstLineChars="0"/>
        <w:rPr>
          <w:rFonts w:ascii="Times New Roman" w:hAnsi="Times New Roman" w:eastAsia="Times New Roman" w:cs="Times New Roman"/>
          <w:b/>
          <w:bCs/>
          <w:kern w:val="0"/>
          <w:sz w:val="28"/>
          <w:szCs w:val="28"/>
        </w:rPr>
      </w:pPr>
      <w:bookmarkStart w:id="101" w:name="_Toc256000087"/>
      <w:bookmarkStart w:id="102" w:name="_Toc256000118"/>
      <w:bookmarkStart w:id="103" w:name="_Toc256000025"/>
      <w:bookmarkStart w:id="104" w:name="_Toc256000056"/>
      <w:r>
        <w:rPr>
          <w:rFonts w:ascii="黑体" w:hAnsi="黑体" w:eastAsia="黑体" w:cs="黑体"/>
          <w:b/>
          <w:spacing w:val="0"/>
        </w:rPr>
        <w:t>八、预算绩效情况说明</w:t>
      </w:r>
      <w:bookmarkEnd w:id="101"/>
      <w:bookmarkEnd w:id="102"/>
      <w:bookmarkEnd w:id="103"/>
      <w:bookmarkEnd w:id="104"/>
    </w:p>
    <w:p>
      <w:pPr>
        <w:pStyle w:val="23"/>
        <w:widowControl/>
        <w:spacing w:before="100" w:after="100" w:line="600" w:lineRule="atLeast"/>
        <w:ind w:left="0" w:right="0"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pacing w:val="0"/>
          <w:kern w:val="0"/>
          <w:sz w:val="32"/>
          <w:szCs w:val="32"/>
          <w:highlight w:val="none"/>
        </w:rPr>
        <w:t>根据全面实施预算绩效管理要求，</w:t>
      </w:r>
      <w:r>
        <w:rPr>
          <w:rFonts w:hint="eastAsia" w:ascii="仿宋_GB2312" w:hAnsi="仿宋_GB2312" w:eastAsia="仿宋_GB2312" w:cs="仿宋_GB2312"/>
          <w:color w:val="auto"/>
          <w:kern w:val="0"/>
          <w:sz w:val="32"/>
          <w:szCs w:val="32"/>
        </w:rPr>
        <w:t>本</w:t>
      </w:r>
      <w:r>
        <w:rPr>
          <w:rFonts w:hint="eastAsia" w:ascii="仿宋_GB2312" w:hAnsi="仿宋_GB2312" w:eastAsia="仿宋_GB2312" w:cs="仿宋_GB2312"/>
          <w:color w:val="auto"/>
          <w:kern w:val="0"/>
          <w:sz w:val="32"/>
          <w:szCs w:val="32"/>
          <w:lang w:eastAsia="zh-CN"/>
        </w:rPr>
        <w:t>部门</w:t>
      </w:r>
      <w:r>
        <w:rPr>
          <w:rFonts w:hint="eastAsia" w:ascii="仿宋_GB2312" w:hAnsi="仿宋_GB2312" w:eastAsia="仿宋_GB2312" w:cs="仿宋_GB2312"/>
          <w:color w:val="auto"/>
          <w:kern w:val="0"/>
          <w:sz w:val="32"/>
          <w:szCs w:val="32"/>
        </w:rPr>
        <w:t>组织对</w:t>
      </w:r>
      <w:r>
        <w:rPr>
          <w:rFonts w:hint="eastAsia" w:ascii="仿宋_GB2312" w:hAnsi="仿宋_GB2312" w:eastAsia="仿宋_GB2312" w:cs="仿宋_GB2312"/>
          <w:color w:val="auto"/>
          <w:kern w:val="0"/>
          <w:sz w:val="32"/>
          <w:szCs w:val="32"/>
          <w:lang w:val="en-US" w:eastAsia="zh-CN"/>
        </w:rPr>
        <w:t>2024年度</w:t>
      </w:r>
      <w:r>
        <w:rPr>
          <w:rFonts w:hint="eastAsia" w:ascii="仿宋_GB2312" w:hAnsi="仿宋_GB2312" w:eastAsia="仿宋_GB2312" w:cs="仿宋_GB2312"/>
          <w:color w:val="auto"/>
          <w:kern w:val="0"/>
          <w:sz w:val="32"/>
          <w:szCs w:val="32"/>
        </w:rPr>
        <w:t>计划生育家庭意外伤害保险及失独家庭住院护理补贴保险二级项目</w:t>
      </w:r>
      <w:r>
        <w:rPr>
          <w:rFonts w:hint="eastAsia" w:ascii="仿宋_GB2312" w:hAnsi="仿宋_GB2312" w:eastAsia="仿宋_GB2312" w:cs="仿宋_GB2312"/>
          <w:color w:val="auto"/>
          <w:kern w:val="0"/>
          <w:sz w:val="32"/>
          <w:szCs w:val="32"/>
          <w:lang w:eastAsia="zh-CN"/>
        </w:rPr>
        <w:t>实施单位</w:t>
      </w:r>
      <w:r>
        <w:rPr>
          <w:rFonts w:hint="eastAsia" w:ascii="仿宋_GB2312" w:hAnsi="仿宋_GB2312" w:eastAsia="仿宋_GB2312" w:cs="仿宋_GB2312"/>
          <w:color w:val="auto"/>
          <w:kern w:val="0"/>
          <w:sz w:val="32"/>
          <w:szCs w:val="32"/>
        </w:rPr>
        <w:t>自评，</w:t>
      </w:r>
      <w:r>
        <w:rPr>
          <w:rFonts w:hint="eastAsia" w:ascii="仿宋_GB2312" w:hAnsi="仿宋_GB2312" w:eastAsia="仿宋_GB2312" w:cs="仿宋_GB2312"/>
          <w:color w:val="000000"/>
          <w:spacing w:val="0"/>
          <w:kern w:val="0"/>
          <w:sz w:val="32"/>
          <w:szCs w:val="32"/>
          <w:highlight w:val="none"/>
        </w:rPr>
        <w:t>涉及财政拨款资金共计</w:t>
      </w:r>
      <w:r>
        <w:rPr>
          <w:rFonts w:hint="eastAsia" w:ascii="仿宋_GB2312" w:hAnsi="仿宋_GB2312" w:eastAsia="仿宋_GB2312" w:cs="仿宋_GB2312"/>
          <w:color w:val="000000"/>
          <w:spacing w:val="0"/>
          <w:kern w:val="0"/>
          <w:sz w:val="32"/>
          <w:szCs w:val="32"/>
          <w:highlight w:val="none"/>
          <w:lang w:val="en-US" w:eastAsia="zh-CN"/>
        </w:rPr>
        <w:t>1189.2</w:t>
      </w:r>
      <w:r>
        <w:rPr>
          <w:rFonts w:hint="eastAsia" w:ascii="仿宋_GB2312" w:hAnsi="仿宋_GB2312" w:eastAsia="仿宋_GB2312" w:cs="仿宋_GB2312"/>
          <w:color w:val="000000"/>
          <w:spacing w:val="0"/>
          <w:kern w:val="0"/>
          <w:sz w:val="32"/>
          <w:szCs w:val="32"/>
          <w:highlight w:val="none"/>
        </w:rPr>
        <w:t>万元，</w:t>
      </w:r>
      <w:r>
        <w:rPr>
          <w:rFonts w:hint="eastAsia" w:ascii="仿宋_GB2312" w:hAnsi="仿宋_GB2312" w:eastAsia="仿宋_GB2312" w:cs="仿宋_GB2312"/>
          <w:color w:val="auto"/>
          <w:kern w:val="0"/>
          <w:sz w:val="32"/>
          <w:szCs w:val="32"/>
        </w:rPr>
        <w:t>评价结果分数属于“大于等于90分”。</w:t>
      </w:r>
      <w:r>
        <w:rPr>
          <w:rFonts w:hint="eastAsia" w:ascii="仿宋_GB2312" w:hAnsi="仿宋_GB2312" w:eastAsia="仿宋_GB2312" w:cs="仿宋_GB2312"/>
          <w:spacing w:val="0"/>
          <w:kern w:val="0"/>
          <w:sz w:val="32"/>
          <w:szCs w:val="32"/>
        </w:rPr>
        <w:t>（《项目支出绩效自评表》详见附件）</w:t>
      </w:r>
    </w:p>
    <w:p>
      <w:pPr>
        <w:pStyle w:val="5"/>
        <w:spacing w:before="100" w:after="100" w:line="600" w:lineRule="atLeast"/>
        <w:ind w:left="0" w:right="0" w:firstLine="640" w:firstLineChars="0"/>
        <w:rPr>
          <w:rFonts w:ascii="Times New Roman" w:hAnsi="Times New Roman" w:eastAsia="Times New Roman" w:cs="Times New Roman"/>
          <w:b/>
          <w:bCs/>
          <w:kern w:val="0"/>
          <w:sz w:val="28"/>
          <w:szCs w:val="28"/>
        </w:rPr>
      </w:pPr>
      <w:bookmarkStart w:id="105" w:name="_Toc256000026"/>
      <w:bookmarkStart w:id="106" w:name="_Toc256000088"/>
      <w:bookmarkStart w:id="107" w:name="_Toc256000057"/>
      <w:bookmarkStart w:id="108" w:name="_Toc256000119"/>
      <w:r>
        <w:rPr>
          <w:rFonts w:ascii="黑体" w:hAnsi="黑体" w:eastAsia="黑体" w:cs="黑体"/>
          <w:b/>
          <w:spacing w:val="0"/>
        </w:rPr>
        <w:t>九、其他重要事项说明</w:t>
      </w:r>
      <w:bookmarkEnd w:id="105"/>
      <w:bookmarkEnd w:id="106"/>
      <w:bookmarkEnd w:id="107"/>
      <w:bookmarkEnd w:id="108"/>
    </w:p>
    <w:p>
      <w:pPr>
        <w:pStyle w:val="23"/>
        <w:widowControl/>
        <w:spacing w:before="100" w:after="100" w:line="600" w:lineRule="atLeast"/>
        <w:ind w:left="0" w:right="0" w:firstLine="643"/>
        <w:jc w:val="left"/>
        <w:rPr>
          <w:rFonts w:ascii="Times New Roman" w:hAnsi="Times New Roman" w:eastAsia="Times New Roman" w:cs="Times New Roman"/>
          <w:kern w:val="0"/>
          <w:sz w:val="24"/>
        </w:rPr>
      </w:pPr>
      <w:r>
        <w:rPr>
          <w:rFonts w:ascii="楷体" w:hAnsi="楷体" w:eastAsia="楷体" w:cs="楷体"/>
          <w:spacing w:val="0"/>
          <w:kern w:val="0"/>
          <w:sz w:val="32"/>
          <w:szCs w:val="32"/>
        </w:rPr>
        <w:t>（一）机关运行经费</w:t>
      </w:r>
      <w:r>
        <w:rPr>
          <w:rFonts w:ascii="宋体" w:hAnsi="宋体" w:cs="宋体"/>
          <w:spacing w:val="0"/>
          <w:kern w:val="0"/>
          <w:sz w:val="32"/>
          <w:szCs w:val="32"/>
        </w:rPr>
        <w:t> </w:t>
      </w:r>
    </w:p>
    <w:p>
      <w:pPr>
        <w:pStyle w:val="23"/>
        <w:widowControl/>
        <w:spacing w:before="100" w:after="100" w:line="600" w:lineRule="atLeast"/>
        <w:ind w:left="0" w:right="0" w:firstLine="640"/>
        <w:jc w:val="left"/>
        <w:rPr>
          <w:rFonts w:hint="eastAsia" w:ascii="仿宋_GB2312" w:hAnsi="仿宋_GB2312" w:eastAsia="仿宋_GB2312" w:cs="仿宋_GB2312"/>
          <w:kern w:val="0"/>
          <w:sz w:val="32"/>
          <w:szCs w:val="32"/>
        </w:rPr>
      </w:pPr>
      <w:r>
        <w:rPr>
          <w:rFonts w:ascii="仿宋_GB2312" w:hAnsi="仿宋_GB2312" w:eastAsia="仿宋_GB2312" w:cs="仿宋_GB2312"/>
          <w:spacing w:val="0"/>
          <w:kern w:val="0"/>
          <w:sz w:val="32"/>
          <w:szCs w:val="32"/>
        </w:rPr>
        <w:t>2024年度机关运行经费支出41.20万元，比上年决算数增加1.30万元，增长3.26%，主要原因是:</w:t>
      </w:r>
      <w:r>
        <w:rPr>
          <w:rFonts w:hint="eastAsia" w:ascii="仿宋_GB2312" w:hAnsi="仿宋_GB2312" w:eastAsia="仿宋_GB2312" w:cs="仿宋_GB2312"/>
          <w:color w:val="000000"/>
          <w:sz w:val="32"/>
          <w:szCs w:val="32"/>
          <w:highlight w:val="none"/>
          <w:lang w:eastAsia="zh-CN"/>
        </w:rPr>
        <w:t>按计划更换国产计算机，办公设备购置支出增加</w:t>
      </w:r>
      <w:r>
        <w:rPr>
          <w:rFonts w:hint="eastAsia" w:ascii="仿宋_GB2312" w:hAnsi="仿宋_GB2312" w:eastAsia="仿宋_GB2312" w:cs="仿宋_GB2312"/>
          <w:color w:val="000000"/>
          <w:spacing w:val="0"/>
          <w:kern w:val="0"/>
          <w:sz w:val="32"/>
          <w:szCs w:val="32"/>
          <w:highlight w:val="none"/>
        </w:rPr>
        <w:t>。</w:t>
      </w:r>
    </w:p>
    <w:p>
      <w:pPr>
        <w:pStyle w:val="23"/>
        <w:widowControl/>
        <w:spacing w:before="100" w:after="100" w:line="600" w:lineRule="atLeast"/>
        <w:ind w:left="0" w:right="0" w:firstLine="643"/>
        <w:jc w:val="left"/>
        <w:rPr>
          <w:rFonts w:ascii="Times New Roman" w:hAnsi="Times New Roman" w:eastAsia="Times New Roman" w:cs="Times New Roman"/>
          <w:kern w:val="0"/>
          <w:sz w:val="24"/>
        </w:rPr>
      </w:pPr>
      <w:r>
        <w:rPr>
          <w:rStyle w:val="29"/>
          <w:rFonts w:ascii="楷体" w:hAnsi="楷体" w:eastAsia="楷体" w:cs="楷体"/>
          <w:b/>
          <w:bCs/>
          <w:spacing w:val="0"/>
          <w:kern w:val="0"/>
          <w:sz w:val="32"/>
          <w:szCs w:val="32"/>
        </w:rPr>
        <w:t>（二）政府采购情况</w:t>
      </w:r>
    </w:p>
    <w:p>
      <w:pPr>
        <w:pStyle w:val="23"/>
        <w:widowControl/>
        <w:spacing w:before="100" w:after="100" w:line="600" w:lineRule="atLeast"/>
        <w:ind w:left="0" w:right="0" w:firstLine="640"/>
        <w:jc w:val="left"/>
        <w:rPr>
          <w:rFonts w:hint="default" w:ascii="Times New Roman" w:hAnsi="Times New Roman" w:eastAsia="仿宋_GB2312" w:cs="Times New Roman"/>
          <w:kern w:val="0"/>
          <w:sz w:val="24"/>
          <w:lang w:val="en-US" w:eastAsia="zh-CN"/>
        </w:rPr>
      </w:pPr>
      <w:r>
        <w:rPr>
          <w:rFonts w:ascii="仿宋_GB2312" w:hAnsi="仿宋_GB2312" w:eastAsia="仿宋_GB2312" w:cs="仿宋_GB2312"/>
          <w:spacing w:val="0"/>
          <w:kern w:val="0"/>
          <w:sz w:val="32"/>
          <w:szCs w:val="32"/>
        </w:rPr>
        <w:t>本单位2024年度政府采购支出总额3.72万元，其中：政府采购货物支出3.72万元、政府采购工程支出0万元、政府采购服务支出0万元。授予中小企业合同金额0万元，占政府采购支出总额的0%，其中：授予小微企业合同金额0万元，占授予中小企业合同金额的0%；货物采购授予中小企业合同金额占货物支出金额的</w:t>
      </w:r>
      <w:r>
        <w:rPr>
          <w:rFonts w:hint="eastAsia" w:ascii="仿宋_GB2312" w:hAnsi="仿宋_GB2312" w:eastAsia="仿宋_GB2312" w:cs="仿宋_GB2312"/>
          <w:spacing w:val="0"/>
          <w:kern w:val="0"/>
          <w:sz w:val="32"/>
          <w:szCs w:val="32"/>
          <w:lang w:val="en-US" w:eastAsia="zh-CN"/>
        </w:rPr>
        <w:t>0</w:t>
      </w:r>
      <w:r>
        <w:rPr>
          <w:rFonts w:ascii="仿宋_GB2312" w:hAnsi="仿宋_GB2312" w:eastAsia="仿宋_GB2312" w:cs="仿宋_GB2312"/>
          <w:spacing w:val="0"/>
          <w:kern w:val="0"/>
          <w:sz w:val="32"/>
          <w:szCs w:val="32"/>
        </w:rPr>
        <w:t>%，工程采购授予中小企业合同金额占工程支出金额的</w:t>
      </w:r>
      <w:r>
        <w:rPr>
          <w:rFonts w:hint="eastAsia" w:ascii="仿宋_GB2312" w:hAnsi="仿宋_GB2312" w:eastAsia="仿宋_GB2312" w:cs="仿宋_GB2312"/>
          <w:spacing w:val="0"/>
          <w:kern w:val="0"/>
          <w:sz w:val="32"/>
          <w:szCs w:val="32"/>
          <w:lang w:val="en-US" w:eastAsia="zh-CN"/>
        </w:rPr>
        <w:t>0</w:t>
      </w:r>
      <w:r>
        <w:rPr>
          <w:rFonts w:ascii="仿宋_GB2312" w:hAnsi="仿宋_GB2312" w:eastAsia="仿宋_GB2312" w:cs="仿宋_GB2312"/>
          <w:spacing w:val="0"/>
          <w:kern w:val="0"/>
          <w:sz w:val="32"/>
          <w:szCs w:val="32"/>
        </w:rPr>
        <w:t>%，服务采购授予中小企业合同金额占服务支出金额的</w:t>
      </w:r>
      <w:r>
        <w:rPr>
          <w:rFonts w:hint="eastAsia" w:ascii="仿宋_GB2312" w:hAnsi="仿宋_GB2312" w:eastAsia="仿宋_GB2312" w:cs="仿宋_GB2312"/>
          <w:spacing w:val="0"/>
          <w:kern w:val="0"/>
          <w:sz w:val="32"/>
          <w:szCs w:val="32"/>
          <w:lang w:val="en-US" w:eastAsia="zh-CN"/>
        </w:rPr>
        <w:t>0%。</w:t>
      </w:r>
    </w:p>
    <w:p>
      <w:pPr>
        <w:pStyle w:val="23"/>
        <w:widowControl/>
        <w:spacing w:before="100" w:after="100" w:line="600" w:lineRule="atLeast"/>
        <w:ind w:left="0" w:right="0" w:firstLine="707"/>
        <w:jc w:val="left"/>
        <w:rPr>
          <w:rFonts w:ascii="Times New Roman" w:hAnsi="Times New Roman" w:eastAsia="Times New Roman" w:cs="Times New Roman"/>
          <w:kern w:val="0"/>
          <w:sz w:val="24"/>
        </w:rPr>
      </w:pPr>
      <w:r>
        <w:rPr>
          <w:rStyle w:val="29"/>
          <w:rFonts w:ascii="楷体" w:hAnsi="楷体" w:eastAsia="楷体" w:cs="楷体"/>
          <w:b/>
          <w:bCs/>
          <w:spacing w:val="0"/>
          <w:kern w:val="0"/>
          <w:sz w:val="32"/>
          <w:szCs w:val="32"/>
        </w:rPr>
        <w:t>（三）国有资产占用使用情况</w:t>
      </w:r>
      <w:r>
        <w:rPr>
          <w:rFonts w:ascii="宋体" w:hAnsi="宋体" w:cs="宋体"/>
          <w:spacing w:val="0"/>
          <w:kern w:val="0"/>
          <w:sz w:val="32"/>
          <w:szCs w:val="32"/>
        </w:rPr>
        <w:t> </w:t>
      </w:r>
    </w:p>
    <w:p>
      <w:pPr>
        <w:pStyle w:val="23"/>
        <w:widowControl/>
        <w:spacing w:before="100" w:after="100" w:line="600" w:lineRule="atLeast"/>
        <w:ind w:left="0" w:right="0" w:firstLine="704"/>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截至2024年12月31日，本单位共有车辆0 辆，其中：副部（省）级以上领导用车0 辆、主要领导干部用车0 辆、机要通信用车0辆、应急保障用车0辆、执法执勤用车0辆、特种专业技术用车0辆、离退休干部用车0辆、其他用车0辆，其他用车主要是</w:t>
      </w:r>
      <w:r>
        <w:rPr>
          <w:rFonts w:hint="eastAsia" w:ascii="仿宋_GB2312" w:hAnsi="仿宋_GB2312" w:eastAsia="仿宋_GB2312" w:cs="仿宋_GB2312"/>
          <w:spacing w:val="0"/>
          <w:kern w:val="0"/>
          <w:sz w:val="32"/>
          <w:szCs w:val="32"/>
          <w:lang w:eastAsia="zh-CN"/>
        </w:rPr>
        <w:t>：无其他用车</w:t>
      </w:r>
      <w:r>
        <w:rPr>
          <w:rFonts w:ascii="仿宋_GB2312" w:hAnsi="仿宋_GB2312" w:eastAsia="仿宋_GB2312" w:cs="仿宋_GB2312"/>
          <w:spacing w:val="0"/>
          <w:kern w:val="0"/>
          <w:sz w:val="32"/>
          <w:szCs w:val="32"/>
        </w:rPr>
        <w:t>；单位价值100万元以上设备（不含车辆）0台（套）。</w:t>
      </w:r>
      <w:r>
        <w:rPr>
          <w:rFonts w:ascii="Calibri" w:hAnsi="Calibri" w:eastAsia="Calibri" w:cs="Calibri"/>
          <w:spacing w:val="0"/>
          <w:kern w:val="0"/>
          <w:sz w:val="32"/>
          <w:szCs w:val="32"/>
        </w:rPr>
        <w:t>  </w:t>
      </w:r>
      <w:r>
        <w:rPr>
          <w:rFonts w:ascii="宋体" w:hAnsi="宋体" w:cs="宋体"/>
          <w:spacing w:val="0"/>
          <w:kern w:val="0"/>
          <w:sz w:val="56"/>
          <w:szCs w:val="56"/>
        </w:rPr>
        <w:t xml:space="preserve"> </w:t>
      </w:r>
    </w:p>
    <w:p>
      <w:pPr>
        <w:sectPr>
          <w:footerReference r:id="rId21" w:type="default"/>
          <w:pgSz w:w="11906" w:h="16838"/>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page break</w:t>
      </w:r>
    </w:p>
    <w:p>
      <w:pPr>
        <w:widowControl/>
        <w:spacing w:before="240" w:after="240"/>
        <w:jc w:val="left"/>
        <w:rPr>
          <w:rFonts w:ascii="Times New Roman" w:hAnsi="Times New Roman" w:eastAsia="Times New Roman" w:cs="Times New Roman"/>
          <w:kern w:val="0"/>
          <w:sz w:val="24"/>
        </w:rPr>
      </w:pPr>
    </w:p>
    <w:p>
      <w:pPr>
        <w:pStyle w:val="23"/>
        <w:widowControl/>
        <w:spacing w:before="100" w:after="100"/>
        <w:ind w:left="0" w:right="0" w:firstLine="0"/>
        <w:jc w:val="left"/>
        <w:rPr>
          <w:rFonts w:ascii="Times New Roman" w:hAnsi="Times New Roman" w:eastAsia="Times New Roman" w:cs="Times New Roman"/>
          <w:kern w:val="0"/>
          <w:sz w:val="24"/>
        </w:rPr>
      </w:pPr>
    </w:p>
    <w:p>
      <w:pPr>
        <w:pStyle w:val="3"/>
        <w:spacing w:before="100" w:after="100" w:line="240" w:lineRule="auto"/>
        <w:ind w:left="0" w:right="0" w:firstLine="0" w:firstLineChars="0"/>
        <w:rPr>
          <w:rFonts w:ascii="Times New Roman" w:hAnsi="Times New Roman" w:eastAsia="Times New Roman" w:cs="Times New Roman"/>
          <w:b/>
          <w:bCs/>
          <w:kern w:val="0"/>
          <w:sz w:val="36"/>
          <w:szCs w:val="36"/>
        </w:rPr>
      </w:pPr>
      <w:bookmarkStart w:id="109" w:name="_Toc256000058"/>
      <w:bookmarkStart w:id="110" w:name="_Toc256000089"/>
      <w:bookmarkStart w:id="111" w:name="_Toc256000120"/>
      <w:bookmarkStart w:id="112" w:name="_Toc256000027"/>
      <w:r>
        <w:rPr>
          <w:rFonts w:ascii="黑体" w:hAnsi="黑体" w:eastAsia="黑体" w:cs="黑体"/>
          <w:b/>
          <w:spacing w:val="0"/>
          <w:sz w:val="56"/>
          <w:szCs w:val="56"/>
        </w:rPr>
        <w:t>第四部分</w:t>
      </w:r>
      <w:bookmarkEnd w:id="109"/>
      <w:bookmarkEnd w:id="110"/>
      <w:bookmarkEnd w:id="111"/>
      <w:bookmarkEnd w:id="112"/>
      <w:r>
        <w:rPr>
          <w:rFonts w:ascii="宋体" w:hAnsi="宋体" w:eastAsia="宋体" w:cs="宋体"/>
          <w:b/>
          <w:spacing w:val="0"/>
          <w:sz w:val="56"/>
          <w:szCs w:val="56"/>
        </w:rPr>
        <w:t> </w:t>
      </w:r>
    </w:p>
    <w:p>
      <w:pPr>
        <w:pStyle w:val="3"/>
        <w:spacing w:before="100" w:after="100" w:line="240" w:lineRule="auto"/>
        <w:ind w:left="0" w:right="0" w:firstLine="0" w:firstLineChars="0"/>
        <w:jc w:val="center"/>
        <w:rPr>
          <w:rFonts w:ascii="Times New Roman" w:hAnsi="Times New Roman" w:eastAsia="Times New Roman" w:cs="Times New Roman"/>
          <w:b/>
          <w:bCs/>
          <w:kern w:val="0"/>
          <w:sz w:val="36"/>
          <w:szCs w:val="36"/>
        </w:rPr>
      </w:pPr>
      <w:bookmarkStart w:id="113" w:name="_Toc256000059"/>
      <w:bookmarkStart w:id="114" w:name="_Toc256000028"/>
      <w:bookmarkStart w:id="115" w:name="_Toc256000121"/>
      <w:bookmarkStart w:id="116" w:name="_Toc256000090"/>
      <w:r>
        <w:rPr>
          <w:rFonts w:ascii="黑体" w:hAnsi="黑体" w:eastAsia="黑体" w:cs="黑体"/>
          <w:b/>
          <w:spacing w:val="0"/>
          <w:sz w:val="56"/>
          <w:szCs w:val="56"/>
        </w:rPr>
        <w:t>名词解释</w:t>
      </w:r>
      <w:bookmarkEnd w:id="113"/>
      <w:bookmarkEnd w:id="114"/>
      <w:bookmarkEnd w:id="115"/>
      <w:bookmarkEnd w:id="116"/>
    </w:p>
    <w:p>
      <w:pPr>
        <w:pStyle w:val="23"/>
        <w:widowControl/>
        <w:spacing w:before="100" w:after="100"/>
        <w:ind w:left="0" w:right="0" w:firstLine="0"/>
        <w:jc w:val="center"/>
        <w:rPr>
          <w:rFonts w:ascii="Times New Roman" w:hAnsi="Times New Roman" w:eastAsia="Times New Roman" w:cs="Times New Roman"/>
          <w:kern w:val="0"/>
          <w:sz w:val="24"/>
        </w:rPr>
      </w:pPr>
    </w:p>
    <w:p>
      <w:pPr>
        <w:sectPr>
          <w:footerReference r:id="rId22" w:type="default"/>
          <w:pgSz w:w="11906" w:h="16838"/>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page break</w:t>
      </w:r>
    </w:p>
    <w:p>
      <w:pPr>
        <w:widowControl/>
        <w:spacing w:before="240" w:after="240"/>
        <w:jc w:val="left"/>
        <w:rPr>
          <w:rFonts w:ascii="Times New Roman" w:hAnsi="Times New Roman" w:eastAsia="Times New Roman" w:cs="Times New Roman"/>
          <w:kern w:val="0"/>
          <w:sz w:val="24"/>
        </w:rPr>
      </w:pPr>
    </w:p>
    <w:p>
      <w:pPr>
        <w:pStyle w:val="23"/>
        <w:widowControl/>
        <w:spacing w:before="100" w:after="100" w:line="600" w:lineRule="atLeast"/>
        <w:ind w:left="0" w:right="0" w:firstLine="710"/>
        <w:jc w:val="left"/>
        <w:rPr>
          <w:rFonts w:ascii="Times New Roman" w:hAnsi="Times New Roman" w:eastAsia="Times New Roman" w:cs="Times New Roman"/>
          <w:kern w:val="0"/>
          <w:sz w:val="24"/>
        </w:rPr>
      </w:pPr>
      <w:r>
        <w:rPr>
          <w:rStyle w:val="29"/>
          <w:rFonts w:ascii="仿宋_GB2312" w:hAnsi="仿宋_GB2312" w:eastAsia="仿宋_GB2312" w:cs="仿宋_GB2312"/>
          <w:b/>
          <w:bCs/>
          <w:spacing w:val="0"/>
          <w:kern w:val="0"/>
          <w:sz w:val="32"/>
          <w:szCs w:val="32"/>
        </w:rPr>
        <w:t>一、财政拨款收入：</w:t>
      </w:r>
      <w:r>
        <w:rPr>
          <w:rFonts w:ascii="仿宋_GB2312" w:hAnsi="仿宋_GB2312" w:eastAsia="仿宋_GB2312" w:cs="仿宋_GB2312"/>
          <w:spacing w:val="0"/>
          <w:kern w:val="0"/>
          <w:sz w:val="32"/>
          <w:szCs w:val="32"/>
        </w:rPr>
        <w:t>指单位从本级财政单位取得的财政预算资金，包括一般公共预算财政拨款、政府性基金预算财政拨款和国有资本经营预算财政拨款。</w:t>
      </w:r>
    </w:p>
    <w:p>
      <w:pPr>
        <w:pStyle w:val="23"/>
        <w:widowControl/>
        <w:spacing w:before="100" w:after="100" w:line="600" w:lineRule="atLeast"/>
        <w:ind w:left="0" w:right="0" w:firstLine="710"/>
        <w:jc w:val="left"/>
        <w:rPr>
          <w:rFonts w:ascii="Times New Roman" w:hAnsi="Times New Roman" w:eastAsia="Times New Roman" w:cs="Times New Roman"/>
          <w:kern w:val="0"/>
          <w:sz w:val="24"/>
        </w:rPr>
      </w:pPr>
      <w:r>
        <w:rPr>
          <w:rStyle w:val="29"/>
          <w:rFonts w:ascii="仿宋_GB2312" w:hAnsi="仿宋_GB2312" w:eastAsia="仿宋_GB2312" w:cs="仿宋_GB2312"/>
          <w:b/>
          <w:bCs/>
          <w:spacing w:val="0"/>
          <w:kern w:val="0"/>
          <w:sz w:val="32"/>
          <w:szCs w:val="32"/>
        </w:rPr>
        <w:t>二、事业收入：</w:t>
      </w:r>
      <w:r>
        <w:rPr>
          <w:rFonts w:ascii="仿宋_GB2312" w:hAnsi="仿宋_GB2312" w:eastAsia="仿宋_GB2312" w:cs="仿宋_GB2312"/>
          <w:spacing w:val="0"/>
          <w:kern w:val="0"/>
          <w:sz w:val="32"/>
          <w:szCs w:val="32"/>
        </w:rPr>
        <w:t>指事业单位开展专业业务活动及辅助活动所取得的收入。</w:t>
      </w:r>
    </w:p>
    <w:p>
      <w:pPr>
        <w:pStyle w:val="23"/>
        <w:widowControl/>
        <w:spacing w:before="100" w:after="100" w:line="600" w:lineRule="atLeast"/>
        <w:ind w:left="0" w:right="0" w:firstLine="710"/>
        <w:jc w:val="left"/>
        <w:rPr>
          <w:rFonts w:ascii="Times New Roman" w:hAnsi="Times New Roman" w:eastAsia="Times New Roman" w:cs="Times New Roman"/>
          <w:kern w:val="0"/>
          <w:sz w:val="24"/>
        </w:rPr>
      </w:pPr>
      <w:r>
        <w:rPr>
          <w:rStyle w:val="29"/>
          <w:rFonts w:ascii="仿宋_GB2312" w:hAnsi="仿宋_GB2312" w:eastAsia="仿宋_GB2312" w:cs="仿宋_GB2312"/>
          <w:b/>
          <w:bCs/>
          <w:spacing w:val="0"/>
          <w:kern w:val="0"/>
          <w:sz w:val="32"/>
          <w:szCs w:val="32"/>
        </w:rPr>
        <w:t>三、经营收入：</w:t>
      </w:r>
      <w:r>
        <w:rPr>
          <w:rFonts w:ascii="仿宋_GB2312" w:hAnsi="仿宋_GB2312" w:eastAsia="仿宋_GB2312" w:cs="仿宋_GB2312"/>
          <w:spacing w:val="0"/>
          <w:kern w:val="0"/>
          <w:sz w:val="32"/>
          <w:szCs w:val="32"/>
        </w:rPr>
        <w:t>指事业单位在专业业务活动及其辅助活动之外开展非独立核算经营活动取得的收入。</w:t>
      </w:r>
    </w:p>
    <w:p>
      <w:pPr>
        <w:pStyle w:val="23"/>
        <w:widowControl/>
        <w:spacing w:before="100" w:after="100" w:line="600" w:lineRule="atLeast"/>
        <w:ind w:left="0" w:right="0" w:firstLine="710"/>
        <w:jc w:val="left"/>
        <w:rPr>
          <w:rFonts w:ascii="Times New Roman" w:hAnsi="Times New Roman" w:eastAsia="Times New Roman" w:cs="Times New Roman"/>
          <w:kern w:val="0"/>
          <w:sz w:val="24"/>
        </w:rPr>
      </w:pPr>
      <w:r>
        <w:rPr>
          <w:rStyle w:val="29"/>
          <w:rFonts w:ascii="仿宋_GB2312" w:hAnsi="仿宋_GB2312" w:eastAsia="仿宋_GB2312" w:cs="仿宋_GB2312"/>
          <w:b/>
          <w:bCs/>
          <w:spacing w:val="0"/>
          <w:kern w:val="0"/>
          <w:sz w:val="32"/>
          <w:szCs w:val="32"/>
        </w:rPr>
        <w:t>四、其他收入：</w:t>
      </w:r>
      <w:r>
        <w:rPr>
          <w:rFonts w:ascii="仿宋_GB2312" w:hAnsi="仿宋_GB2312" w:eastAsia="仿宋_GB2312" w:cs="仿宋_GB2312"/>
          <w:spacing w:val="0"/>
          <w:kern w:val="0"/>
          <w:sz w:val="32"/>
          <w:szCs w:val="32"/>
        </w:rPr>
        <w:t>指除上述“财政拨款收入”“事业收入”</w:t>
      </w:r>
      <w:r>
        <w:rPr>
          <w:rFonts w:ascii="宋体" w:hAnsi="宋体" w:cs="宋体"/>
          <w:spacing w:val="0"/>
          <w:kern w:val="0"/>
          <w:szCs w:val="21"/>
        </w:rPr>
        <w:t> </w:t>
      </w:r>
      <w:r>
        <w:rPr>
          <w:rFonts w:ascii="仿宋_GB2312" w:hAnsi="仿宋_GB2312" w:eastAsia="仿宋_GB2312" w:cs="仿宋_GB2312"/>
          <w:spacing w:val="0"/>
          <w:kern w:val="0"/>
          <w:sz w:val="32"/>
          <w:szCs w:val="32"/>
        </w:rPr>
        <w:t>“上级补助收入”“附属单位上缴收入”“经营收入”等以外取得的各项收入。主要是事业单位固定资产出租收入等。</w:t>
      </w:r>
    </w:p>
    <w:p>
      <w:pPr>
        <w:pStyle w:val="23"/>
        <w:widowControl/>
        <w:spacing w:before="100" w:after="100" w:line="600" w:lineRule="atLeast"/>
        <w:ind w:left="0" w:right="0" w:firstLine="710"/>
        <w:jc w:val="left"/>
        <w:rPr>
          <w:rFonts w:ascii="Times New Roman" w:hAnsi="Times New Roman" w:eastAsia="Times New Roman" w:cs="Times New Roman"/>
          <w:kern w:val="0"/>
          <w:sz w:val="24"/>
        </w:rPr>
      </w:pPr>
      <w:r>
        <w:rPr>
          <w:rStyle w:val="29"/>
          <w:rFonts w:ascii="仿宋_GB2312" w:hAnsi="仿宋_GB2312" w:eastAsia="仿宋_GB2312" w:cs="仿宋_GB2312"/>
          <w:b/>
          <w:bCs/>
          <w:spacing w:val="0"/>
          <w:kern w:val="0"/>
          <w:sz w:val="32"/>
          <w:szCs w:val="32"/>
        </w:rPr>
        <w:t>五、使用非财政拨款结余：</w:t>
      </w:r>
      <w:r>
        <w:rPr>
          <w:rFonts w:ascii="仿宋_GB2312" w:hAnsi="仿宋_GB2312" w:eastAsia="仿宋_GB2312" w:cs="仿宋_GB2312"/>
          <w:spacing w:val="0"/>
          <w:kern w:val="0"/>
          <w:sz w:val="32"/>
          <w:szCs w:val="32"/>
        </w:rPr>
        <w:t>指事业单位使用以前年度积累的非财政拨款结余弥补当年收支差额的金额。</w:t>
      </w:r>
    </w:p>
    <w:p>
      <w:pPr>
        <w:pStyle w:val="23"/>
        <w:widowControl/>
        <w:spacing w:before="100" w:after="100" w:line="600" w:lineRule="atLeast"/>
        <w:ind w:left="0" w:right="0" w:firstLine="710"/>
        <w:jc w:val="left"/>
        <w:rPr>
          <w:rFonts w:ascii="Times New Roman" w:hAnsi="Times New Roman" w:eastAsia="Times New Roman" w:cs="Times New Roman"/>
          <w:kern w:val="0"/>
          <w:sz w:val="24"/>
        </w:rPr>
      </w:pPr>
      <w:r>
        <w:rPr>
          <w:rStyle w:val="29"/>
          <w:rFonts w:ascii="仿宋_GB2312" w:hAnsi="仿宋_GB2312" w:eastAsia="仿宋_GB2312" w:cs="仿宋_GB2312"/>
          <w:b/>
          <w:bCs/>
          <w:spacing w:val="0"/>
          <w:kern w:val="0"/>
          <w:sz w:val="32"/>
          <w:szCs w:val="32"/>
        </w:rPr>
        <w:t>六、年初结转和结余：</w:t>
      </w:r>
      <w:r>
        <w:rPr>
          <w:rFonts w:ascii="仿宋_GB2312" w:hAnsi="仿宋_GB2312" w:eastAsia="仿宋_GB2312" w:cs="仿宋_GB2312"/>
          <w:spacing w:val="0"/>
          <w:kern w:val="0"/>
          <w:sz w:val="32"/>
          <w:szCs w:val="32"/>
        </w:rPr>
        <w:t>指单位以前年度尚未完成、结转到本年仍按原规定用途继续使用的资金，或项目已完成等产生的结余资金。</w:t>
      </w:r>
    </w:p>
    <w:p>
      <w:pPr>
        <w:pStyle w:val="24"/>
        <w:widowControl/>
        <w:spacing w:before="100" w:after="100" w:line="600" w:lineRule="atLeast"/>
        <w:ind w:left="0" w:right="0" w:firstLine="640"/>
        <w:jc w:val="left"/>
        <w:rPr>
          <w:rFonts w:ascii="Times New Roman" w:hAnsi="Times New Roman" w:eastAsia="Times New Roman" w:cs="Times New Roman"/>
          <w:kern w:val="0"/>
          <w:sz w:val="24"/>
        </w:rPr>
      </w:pPr>
      <w:r>
        <w:rPr>
          <w:rStyle w:val="29"/>
          <w:rFonts w:ascii="仿宋_GB2312" w:hAnsi="仿宋_GB2312" w:eastAsia="仿宋_GB2312" w:cs="仿宋_GB2312"/>
          <w:b/>
          <w:bCs/>
          <w:spacing w:val="0"/>
          <w:kern w:val="0"/>
          <w:sz w:val="32"/>
          <w:szCs w:val="32"/>
        </w:rPr>
        <w:t>七、结余分配：</w:t>
      </w:r>
      <w:r>
        <w:rPr>
          <w:rFonts w:ascii="仿宋_GB2312" w:hAnsi="仿宋_GB2312" w:eastAsia="仿宋_GB2312" w:cs="仿宋_GB2312"/>
          <w:spacing w:val="0"/>
          <w:kern w:val="0"/>
          <w:sz w:val="32"/>
          <w:szCs w:val="32"/>
        </w:rPr>
        <w:t>指事业单位按照会计制度规定缴纳的所得税、提取的专用结余以及转入非财政拨款结余的金额等。</w:t>
      </w:r>
    </w:p>
    <w:p>
      <w:pPr>
        <w:pStyle w:val="24"/>
        <w:widowControl/>
        <w:spacing w:before="100" w:after="100" w:line="600" w:lineRule="atLeast"/>
        <w:ind w:left="0" w:right="0" w:firstLine="640"/>
        <w:jc w:val="left"/>
        <w:rPr>
          <w:rFonts w:ascii="Times New Roman" w:hAnsi="Times New Roman" w:eastAsia="Times New Roman" w:cs="Times New Roman"/>
          <w:kern w:val="0"/>
          <w:sz w:val="24"/>
        </w:rPr>
      </w:pPr>
      <w:r>
        <w:rPr>
          <w:rStyle w:val="29"/>
          <w:rFonts w:ascii="仿宋_GB2312" w:hAnsi="仿宋_GB2312" w:eastAsia="仿宋_GB2312" w:cs="仿宋_GB2312"/>
          <w:b/>
          <w:bCs/>
          <w:spacing w:val="0"/>
          <w:kern w:val="0"/>
          <w:sz w:val="32"/>
          <w:szCs w:val="32"/>
        </w:rPr>
        <w:t>八、年末结转和结余：</w:t>
      </w:r>
      <w:r>
        <w:rPr>
          <w:rFonts w:ascii="仿宋_GB2312" w:hAnsi="仿宋_GB2312" w:eastAsia="仿宋_GB2312" w:cs="仿宋_GB2312"/>
          <w:spacing w:val="0"/>
          <w:kern w:val="0"/>
          <w:sz w:val="32"/>
          <w:szCs w:val="32"/>
        </w:rPr>
        <w:t>指单位按有关规定结转到下年或以后年度继续使用的资金，或项目已完成等产生的结余资金。</w:t>
      </w:r>
    </w:p>
    <w:p>
      <w:pPr>
        <w:pStyle w:val="24"/>
        <w:widowControl/>
        <w:spacing w:before="100" w:after="100" w:line="600" w:lineRule="atLeast"/>
        <w:ind w:left="0" w:right="0" w:firstLine="640"/>
        <w:jc w:val="left"/>
        <w:rPr>
          <w:rFonts w:ascii="Times New Roman" w:hAnsi="Times New Roman" w:eastAsia="Times New Roman" w:cs="Times New Roman"/>
          <w:kern w:val="0"/>
          <w:sz w:val="24"/>
        </w:rPr>
      </w:pPr>
      <w:r>
        <w:rPr>
          <w:rStyle w:val="29"/>
          <w:rFonts w:ascii="仿宋_GB2312" w:hAnsi="仿宋_GB2312" w:eastAsia="仿宋_GB2312" w:cs="仿宋_GB2312"/>
          <w:b/>
          <w:bCs/>
          <w:spacing w:val="0"/>
          <w:kern w:val="0"/>
          <w:sz w:val="32"/>
          <w:szCs w:val="32"/>
        </w:rPr>
        <w:t>九、基本支出：</w:t>
      </w:r>
      <w:r>
        <w:rPr>
          <w:rFonts w:ascii="仿宋_GB2312" w:hAnsi="仿宋_GB2312" w:eastAsia="仿宋_GB2312" w:cs="仿宋_GB2312"/>
          <w:spacing w:val="0"/>
          <w:kern w:val="0"/>
          <w:sz w:val="32"/>
          <w:szCs w:val="32"/>
        </w:rPr>
        <w:t>指为保障机构正常运转、完成日常工作任务而发生的人员支出和公用支出。</w:t>
      </w:r>
    </w:p>
    <w:p>
      <w:pPr>
        <w:pStyle w:val="24"/>
        <w:widowControl/>
        <w:spacing w:before="100" w:after="100" w:line="600" w:lineRule="atLeast"/>
        <w:ind w:left="0" w:right="0" w:firstLine="640"/>
        <w:jc w:val="left"/>
        <w:rPr>
          <w:rFonts w:ascii="Times New Roman" w:hAnsi="Times New Roman" w:eastAsia="Times New Roman" w:cs="Times New Roman"/>
          <w:kern w:val="0"/>
          <w:sz w:val="24"/>
        </w:rPr>
      </w:pPr>
      <w:r>
        <w:rPr>
          <w:rStyle w:val="29"/>
          <w:rFonts w:ascii="仿宋_GB2312" w:hAnsi="仿宋_GB2312" w:eastAsia="仿宋_GB2312" w:cs="仿宋_GB2312"/>
          <w:b/>
          <w:bCs/>
          <w:spacing w:val="0"/>
          <w:kern w:val="0"/>
          <w:sz w:val="32"/>
          <w:szCs w:val="32"/>
        </w:rPr>
        <w:t>十、项目支出：</w:t>
      </w:r>
      <w:r>
        <w:rPr>
          <w:rFonts w:ascii="仿宋_GB2312" w:hAnsi="仿宋_GB2312" w:eastAsia="仿宋_GB2312" w:cs="仿宋_GB2312"/>
          <w:spacing w:val="0"/>
          <w:kern w:val="0"/>
          <w:sz w:val="32"/>
          <w:szCs w:val="32"/>
        </w:rPr>
        <w:t>指在基本支出之外为完成特定行政任务和事业发展目标所发生的支出。</w:t>
      </w:r>
    </w:p>
    <w:p>
      <w:pPr>
        <w:pStyle w:val="24"/>
        <w:widowControl/>
        <w:spacing w:before="100" w:after="100" w:line="600" w:lineRule="atLeast"/>
        <w:ind w:left="0" w:right="0" w:firstLine="640"/>
        <w:jc w:val="left"/>
        <w:rPr>
          <w:rFonts w:ascii="Times New Roman" w:hAnsi="Times New Roman" w:eastAsia="Times New Roman" w:cs="Times New Roman"/>
          <w:kern w:val="0"/>
          <w:sz w:val="24"/>
        </w:rPr>
      </w:pPr>
      <w:r>
        <w:rPr>
          <w:rStyle w:val="29"/>
          <w:rFonts w:ascii="仿宋_GB2312" w:hAnsi="仿宋_GB2312" w:eastAsia="仿宋_GB2312" w:cs="仿宋_GB2312"/>
          <w:b/>
          <w:bCs/>
          <w:spacing w:val="0"/>
          <w:kern w:val="0"/>
          <w:sz w:val="32"/>
          <w:szCs w:val="32"/>
        </w:rPr>
        <w:t>十一、经营支出：</w:t>
      </w:r>
      <w:r>
        <w:rPr>
          <w:rFonts w:ascii="仿宋_GB2312" w:hAnsi="仿宋_GB2312" w:eastAsia="仿宋_GB2312" w:cs="仿宋_GB2312"/>
          <w:spacing w:val="0"/>
          <w:kern w:val="0"/>
          <w:sz w:val="32"/>
          <w:szCs w:val="32"/>
        </w:rPr>
        <w:t>指事业单位在专业业务活动及其辅助活动之外开展非独立核算经营活动发生的支出。</w:t>
      </w:r>
    </w:p>
    <w:p>
      <w:pPr>
        <w:pStyle w:val="24"/>
        <w:widowControl/>
        <w:spacing w:before="100" w:after="100" w:line="600" w:lineRule="atLeast"/>
        <w:ind w:left="0" w:right="0" w:firstLine="640"/>
        <w:jc w:val="left"/>
        <w:rPr>
          <w:rFonts w:ascii="Times New Roman" w:hAnsi="Times New Roman" w:eastAsia="Times New Roman" w:cs="Times New Roman"/>
          <w:kern w:val="0"/>
          <w:sz w:val="24"/>
        </w:rPr>
      </w:pPr>
      <w:r>
        <w:rPr>
          <w:rStyle w:val="29"/>
          <w:rFonts w:ascii="仿宋_GB2312" w:hAnsi="仿宋_GB2312" w:eastAsia="仿宋_GB2312" w:cs="仿宋_GB2312"/>
          <w:b/>
          <w:bCs/>
          <w:spacing w:val="0"/>
          <w:kern w:val="0"/>
          <w:sz w:val="32"/>
          <w:szCs w:val="32"/>
        </w:rPr>
        <w:t>十二、“三公”经费：</w:t>
      </w:r>
      <w:r>
        <w:rPr>
          <w:rFonts w:ascii="仿宋_GB2312" w:hAnsi="仿宋_GB2312" w:eastAsia="仿宋_GB2312" w:cs="仿宋_GB2312"/>
          <w:spacing w:val="0"/>
          <w:kern w:val="0"/>
          <w:sz w:val="32"/>
          <w:szCs w:val="32"/>
        </w:rPr>
        <w:t>纳入本级财政预决算管理的“三公”经费，是指本级单位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牌照费）及燃料费、维修费、过桥过路费、保险费、安全奖励费用等支出；公务接待费反映单位按规定开支的各类公务接待（含外宾接待）支出。</w:t>
      </w:r>
    </w:p>
    <w:p>
      <w:pPr>
        <w:pStyle w:val="24"/>
        <w:widowControl/>
        <w:spacing w:before="100" w:after="100" w:line="600" w:lineRule="atLeast"/>
        <w:ind w:left="0" w:right="0" w:firstLine="640"/>
        <w:jc w:val="left"/>
        <w:rPr>
          <w:rFonts w:ascii="Times New Roman" w:hAnsi="Times New Roman" w:eastAsia="Times New Roman" w:cs="Times New Roman"/>
          <w:kern w:val="0"/>
          <w:sz w:val="24"/>
        </w:rPr>
      </w:pPr>
      <w:r>
        <w:rPr>
          <w:rStyle w:val="29"/>
          <w:rFonts w:ascii="仿宋_GB2312" w:hAnsi="仿宋_GB2312" w:eastAsia="仿宋_GB2312" w:cs="仿宋_GB2312"/>
          <w:b/>
          <w:bCs/>
          <w:spacing w:val="0"/>
          <w:kern w:val="0"/>
          <w:sz w:val="32"/>
          <w:szCs w:val="32"/>
        </w:rPr>
        <w:t>十三、机关运行经费：</w:t>
      </w:r>
      <w:r>
        <w:rPr>
          <w:rFonts w:ascii="仿宋_GB2312" w:hAnsi="仿宋_GB2312" w:eastAsia="仿宋_GB2312" w:cs="仿宋_GB2312"/>
          <w:spacing w:val="0"/>
          <w:kern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widowControl/>
        <w:spacing w:before="240" w:after="240"/>
        <w:jc w:val="left"/>
        <w:rPr>
          <w:rFonts w:ascii="Times New Roman" w:hAnsi="Times New Roman" w:eastAsia="Times New Roman" w:cs="Times New Roman"/>
          <w:kern w:val="0"/>
          <w:sz w:val="24"/>
        </w:rPr>
      </w:pPr>
    </w:p>
    <w:p>
      <w:pPr>
        <w:sectPr>
          <w:footerReference r:id="rId23" w:type="default"/>
          <w:pgSz w:w="11906" w:h="16838"/>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page break</w:t>
      </w:r>
    </w:p>
    <w:p>
      <w:pPr>
        <w:widowControl/>
        <w:spacing w:before="240" w:after="240"/>
        <w:jc w:val="left"/>
        <w:rPr>
          <w:rFonts w:ascii="Times New Roman" w:hAnsi="Times New Roman" w:eastAsia="Times New Roman" w:cs="Times New Roman"/>
          <w:kern w:val="0"/>
          <w:sz w:val="24"/>
        </w:rPr>
      </w:pPr>
    </w:p>
    <w:p>
      <w:pPr>
        <w:pStyle w:val="23"/>
        <w:widowControl/>
        <w:spacing w:before="240" w:after="240"/>
        <w:jc w:val="left"/>
        <w:rPr>
          <w:rFonts w:ascii="Times New Roman" w:hAnsi="Times New Roman" w:eastAsia="Times New Roman" w:cs="Times New Roman"/>
          <w:kern w:val="0"/>
          <w:sz w:val="24"/>
        </w:rPr>
      </w:pPr>
    </w:p>
    <w:p>
      <w:pPr>
        <w:pStyle w:val="23"/>
        <w:widowControl/>
        <w:spacing w:before="240" w:after="240"/>
        <w:jc w:val="left"/>
        <w:rPr>
          <w:rFonts w:ascii="Times New Roman" w:hAnsi="Times New Roman" w:eastAsia="Times New Roman" w:cs="Times New Roman"/>
          <w:kern w:val="0"/>
          <w:sz w:val="24"/>
        </w:rPr>
      </w:pPr>
    </w:p>
    <w:p>
      <w:pPr>
        <w:pStyle w:val="23"/>
        <w:widowControl/>
        <w:spacing w:before="240" w:after="240"/>
        <w:jc w:val="left"/>
        <w:rPr>
          <w:rFonts w:ascii="Times New Roman" w:hAnsi="Times New Roman" w:eastAsia="Times New Roman" w:cs="Times New Roman"/>
          <w:kern w:val="0"/>
          <w:sz w:val="24"/>
        </w:rPr>
      </w:pPr>
    </w:p>
    <w:p>
      <w:pPr>
        <w:pStyle w:val="23"/>
        <w:widowControl/>
        <w:spacing w:before="240" w:after="240"/>
        <w:jc w:val="left"/>
        <w:rPr>
          <w:rFonts w:ascii="Times New Roman" w:hAnsi="Times New Roman" w:eastAsia="Times New Roman" w:cs="Times New Roman"/>
          <w:kern w:val="0"/>
          <w:sz w:val="24"/>
        </w:rPr>
      </w:pPr>
    </w:p>
    <w:p>
      <w:pPr>
        <w:pStyle w:val="23"/>
        <w:widowControl/>
        <w:spacing w:before="240" w:after="240"/>
        <w:jc w:val="left"/>
        <w:rPr>
          <w:rFonts w:ascii="Times New Roman" w:hAnsi="Times New Roman" w:eastAsia="Times New Roman" w:cs="Times New Roman"/>
          <w:kern w:val="0"/>
          <w:sz w:val="24"/>
        </w:rPr>
      </w:pPr>
    </w:p>
    <w:p>
      <w:pPr>
        <w:pStyle w:val="23"/>
        <w:widowControl/>
        <w:spacing w:before="240" w:after="240"/>
        <w:jc w:val="left"/>
        <w:rPr>
          <w:rFonts w:ascii="Times New Roman" w:hAnsi="Times New Roman" w:eastAsia="Times New Roman" w:cs="Times New Roman"/>
          <w:kern w:val="0"/>
          <w:sz w:val="24"/>
        </w:rPr>
      </w:pPr>
    </w:p>
    <w:p>
      <w:pPr>
        <w:pStyle w:val="23"/>
        <w:widowControl/>
        <w:spacing w:before="240" w:after="240"/>
        <w:jc w:val="left"/>
        <w:rPr>
          <w:rFonts w:ascii="Times New Roman" w:hAnsi="Times New Roman" w:eastAsia="Times New Roman" w:cs="Times New Roman"/>
          <w:kern w:val="0"/>
          <w:sz w:val="24"/>
        </w:rPr>
      </w:pPr>
    </w:p>
    <w:p>
      <w:pPr>
        <w:pStyle w:val="23"/>
        <w:widowControl/>
        <w:spacing w:before="240" w:after="240"/>
        <w:jc w:val="left"/>
        <w:rPr>
          <w:rFonts w:ascii="Times New Roman" w:hAnsi="Times New Roman" w:eastAsia="Times New Roman" w:cs="Times New Roman"/>
          <w:kern w:val="0"/>
          <w:sz w:val="24"/>
        </w:rPr>
      </w:pPr>
    </w:p>
    <w:p>
      <w:pPr>
        <w:pStyle w:val="23"/>
        <w:widowControl/>
        <w:spacing w:before="240" w:after="240"/>
        <w:jc w:val="left"/>
        <w:rPr>
          <w:rFonts w:ascii="Times New Roman" w:hAnsi="Times New Roman" w:eastAsia="Times New Roman" w:cs="Times New Roman"/>
          <w:kern w:val="0"/>
          <w:sz w:val="24"/>
        </w:rPr>
      </w:pPr>
    </w:p>
    <w:p>
      <w:pPr>
        <w:pStyle w:val="3"/>
        <w:spacing w:before="299" w:after="299" w:line="240" w:lineRule="auto"/>
        <w:ind w:firstLine="0" w:firstLineChars="0"/>
        <w:rPr>
          <w:rFonts w:ascii="Times New Roman" w:hAnsi="Times New Roman" w:eastAsia="Times New Roman" w:cs="Times New Roman"/>
          <w:b/>
          <w:bCs/>
          <w:kern w:val="0"/>
          <w:sz w:val="36"/>
          <w:szCs w:val="36"/>
        </w:rPr>
      </w:pPr>
      <w:bookmarkStart w:id="117" w:name="_Toc256000060"/>
      <w:bookmarkStart w:id="118" w:name="_Toc256000122"/>
      <w:bookmarkStart w:id="119" w:name="_Toc256000029"/>
      <w:bookmarkStart w:id="120" w:name="_Toc256000091"/>
      <w:r>
        <w:rPr>
          <w:rFonts w:ascii="黑体" w:hAnsi="黑体" w:eastAsia="黑体" w:cs="黑体"/>
          <w:b/>
          <w:sz w:val="56"/>
          <w:szCs w:val="56"/>
        </w:rPr>
        <w:t>第五部分</w:t>
      </w:r>
      <w:bookmarkEnd w:id="117"/>
      <w:bookmarkEnd w:id="118"/>
      <w:bookmarkEnd w:id="119"/>
      <w:bookmarkEnd w:id="120"/>
      <w:r>
        <w:rPr>
          <w:rFonts w:ascii="Calibri" w:hAnsi="Calibri" w:eastAsia="Calibri" w:cs="Calibri"/>
          <w:b/>
          <w:sz w:val="56"/>
          <w:szCs w:val="56"/>
        </w:rPr>
        <w:t> </w:t>
      </w:r>
    </w:p>
    <w:p>
      <w:pPr>
        <w:pStyle w:val="3"/>
        <w:spacing w:before="299" w:after="299" w:line="240" w:lineRule="auto"/>
        <w:ind w:firstLine="0" w:firstLineChars="0"/>
        <w:jc w:val="center"/>
        <w:rPr>
          <w:rFonts w:ascii="Times New Roman" w:hAnsi="Times New Roman" w:eastAsia="Times New Roman" w:cs="Times New Roman"/>
          <w:b/>
          <w:bCs/>
          <w:kern w:val="0"/>
          <w:sz w:val="36"/>
          <w:szCs w:val="36"/>
        </w:rPr>
      </w:pPr>
      <w:bookmarkStart w:id="121" w:name="_Toc256000030"/>
      <w:bookmarkStart w:id="122" w:name="_Toc256000092"/>
      <w:bookmarkStart w:id="123" w:name="_Toc256000123"/>
      <w:bookmarkStart w:id="124" w:name="_Toc256000061"/>
      <w:r>
        <w:rPr>
          <w:rFonts w:ascii="黑体" w:hAnsi="黑体" w:eastAsia="黑体" w:cs="黑体"/>
          <w:b/>
          <w:sz w:val="56"/>
          <w:szCs w:val="56"/>
        </w:rPr>
        <w:t>附件</w:t>
      </w:r>
      <w:bookmarkEnd w:id="121"/>
      <w:bookmarkEnd w:id="122"/>
      <w:bookmarkEnd w:id="123"/>
      <w:bookmarkEnd w:id="124"/>
    </w:p>
    <w:p>
      <w:pPr>
        <w:pStyle w:val="23"/>
        <w:widowControl/>
        <w:spacing w:before="240" w:after="240"/>
        <w:jc w:val="center"/>
        <w:rPr>
          <w:rFonts w:ascii="Times New Roman" w:hAnsi="Times New Roman" w:eastAsia="Times New Roman" w:cs="Times New Roman"/>
          <w:kern w:val="0"/>
          <w:sz w:val="24"/>
        </w:rPr>
      </w:pPr>
    </w:p>
    <w:p>
      <w:pPr>
        <w:sectPr>
          <w:footerReference r:id="rId24" w:type="default"/>
          <w:pgSz w:w="11906" w:h="16838"/>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page break</w:t>
      </w:r>
    </w:p>
    <w:p>
      <w:pPr>
        <w:widowControl/>
        <w:spacing w:before="240" w:after="240"/>
        <w:jc w:val="left"/>
        <w:rPr>
          <w:rFonts w:ascii="Times New Roman" w:hAnsi="Times New Roman" w:eastAsia="Times New Roman" w:cs="Times New Roman"/>
          <w:kern w:val="0"/>
          <w:sz w:val="24"/>
        </w:rPr>
      </w:pPr>
    </w:p>
    <w:p>
      <w:pPr>
        <w:pStyle w:val="23"/>
        <w:widowControl/>
        <w:spacing w:before="240" w:after="240" w:line="600" w:lineRule="atLeast"/>
        <w:ind w:firstLine="6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bookmarkEnd w:id="0"/>
    <w:p>
      <w:pPr>
        <w:tabs>
          <w:tab w:val="left" w:pos="8415"/>
        </w:tabs>
      </w:pPr>
    </w:p>
    <w:p>
      <w:pPr>
        <w:widowControl w:val="0"/>
        <w:tabs>
          <w:tab w:val="left" w:pos="8415"/>
        </w:tabs>
        <w:wordWrap/>
        <w:adjustRightInd/>
        <w:snapToGrid/>
        <w:textAlignment w:val="auto"/>
      </w:pPr>
    </w:p>
    <w:sectPr>
      <w:footerReference r:id="rId25" w:type="default"/>
      <w:pgSz w:w="11906" w:h="16838"/>
      <w:pgMar w:top="1984" w:right="1083" w:bottom="1984" w:left="1083" w:header="0" w:footer="720" w:gutter="0"/>
      <w:cols w:space="72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DejaVu Sans">
    <w:altName w:val="Segoe Print"/>
    <w:panose1 w:val="020B0603030804020204"/>
    <w:charset w:val="00"/>
    <w:family w:val="auto"/>
    <w:pitch w:val="default"/>
    <w:sig w:usb0="E7006EFF" w:usb1="D200FDFF" w:usb2="0A246029" w:usb3="0400200C" w:csb0="600001FF" w:csb1="DFFF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FreeSerif">
    <w:altName w:val="Traditional Arabic"/>
    <w:panose1 w:val="02020603050405020304"/>
    <w:charset w:val="00"/>
    <w:family w:val="auto"/>
    <w:pitch w:val="default"/>
    <w:sig w:usb0="E59FAFFF" w:usb1="C200FDFF" w:usb2="43501B29" w:usb3="04000043" w:csb0="600101FF" w:csb1="FFFF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微软雅黑"/>
    <w:panose1 w:val="02000000000000000000"/>
    <w:charset w:val="86"/>
    <w:family w:val="auto"/>
    <w:pitch w:val="default"/>
    <w:sig w:usb0="A00002BF" w:usb1="184F6CFA" w:usb2="00000012" w:usb3="00000000" w:csb0="00040001" w:csb1="00000000"/>
  </w:font>
  <w:font w:name="kai_ti_gb2312">
    <w:altName w:val="微软雅黑"/>
    <w:panose1 w:val="00000000000000000000"/>
    <w:charset w:val="00"/>
    <w:family w:val="auto"/>
    <w:pitch w:val="default"/>
    <w:sig w:usb0="00000000" w:usb1="00000000" w:usb2="00000000" w:usb3="00000000" w:csb0="00040001" w:csb1="00000000"/>
  </w:font>
  <w:font w:name="C059">
    <w:altName w:val="Segoe Print"/>
    <w:panose1 w:val="00000500000000000000"/>
    <w:charset w:val="00"/>
    <w:family w:val="auto"/>
    <w:pitch w:val="default"/>
    <w:sig w:usb0="00000287" w:usb1="00000800" w:usb2="00000000" w:usb3="00000000" w:csb0="6000009F"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中宋简">
    <w:altName w:val="宋体"/>
    <w:panose1 w:val="02010609000101010101"/>
    <w:charset w:val="86"/>
    <w:family w:val="auto"/>
    <w:pitch w:val="default"/>
    <w:sig w:usb0="00000001" w:usb1="080E0800" w:usb2="00000002" w:usb3="00000000" w:csb0="00040000" w:csb1="00000000"/>
  </w:font>
  <w:font w:name="方正仿宋_GBK">
    <w:altName w:val="微软雅黑"/>
    <w:panose1 w:val="02000000000000000000"/>
    <w:charset w:val="86"/>
    <w:family w:val="auto"/>
    <w:pitch w:val="default"/>
    <w:sig w:usb0="00000001" w:usb1="08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微软雅黑">
    <w:panose1 w:val="020B0503020204020204"/>
    <w:charset w:val="00"/>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w:t>
    </w:r>
    <w:r>
      <w:rPr>
        <w:rFonts w:ascii="宋体" w:hAnsi="宋体" w:eastAsia="宋体" w:cs="宋体"/>
        <w:sz w:val="18"/>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19</w:t>
    </w:r>
    <w:r>
      <w:rPr>
        <w:rFonts w:ascii="宋体" w:hAnsi="宋体" w:eastAsia="宋体" w:cs="宋体"/>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21</w:t>
    </w:r>
    <w:r>
      <w:rPr>
        <w:rFonts w:ascii="宋体" w:hAnsi="宋体" w:eastAsia="宋体" w:cs="宋体"/>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25</w:t>
    </w:r>
    <w:r>
      <w:rPr>
        <w:rFonts w:ascii="宋体" w:hAnsi="宋体" w:eastAsia="宋体" w:cs="宋体"/>
        <w:sz w:val="18"/>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26</w:t>
    </w:r>
    <w:r>
      <w:rPr>
        <w:rFonts w:ascii="宋体" w:hAnsi="宋体" w:eastAsia="宋体" w:cs="宋体"/>
        <w:sz w:val="1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27</w:t>
    </w:r>
    <w:r>
      <w:rPr>
        <w:rFonts w:ascii="宋体" w:hAnsi="宋体" w:eastAsia="宋体" w:cs="宋体"/>
        <w:sz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28</w:t>
    </w:r>
    <w:r>
      <w:rPr>
        <w:rFonts w:ascii="宋体" w:hAnsi="宋体" w:eastAsia="宋体" w:cs="宋体"/>
        <w:sz w:val="18"/>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29</w:t>
    </w:r>
    <w:r>
      <w:rPr>
        <w:rFonts w:ascii="宋体" w:hAnsi="宋体" w:eastAsia="宋体" w:cs="宋体"/>
        <w:sz w:val="18"/>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30</w:t>
    </w:r>
    <w:r>
      <w:rPr>
        <w:rFonts w:ascii="宋体" w:hAnsi="宋体" w:eastAsia="宋体" w:cs="宋体"/>
        <w:sz w:val="18"/>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36</w:t>
    </w:r>
    <w:r>
      <w:rPr>
        <w:rFonts w:ascii="宋体" w:hAnsi="宋体" w:eastAsia="宋体" w:cs="宋体"/>
        <w:sz w:val="18"/>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37</w:t>
    </w:r>
    <w:r>
      <w:rPr>
        <w:rFonts w:ascii="宋体" w:hAnsi="宋体" w:eastAsia="宋体" w:cs="宋体"/>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3</w:t>
    </w:r>
    <w:r>
      <w:rPr>
        <w:rFonts w:ascii="宋体" w:hAnsi="宋体" w:eastAsia="宋体" w:cs="宋体"/>
        <w:sz w:val="18"/>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39</w:t>
    </w:r>
    <w:r>
      <w:rPr>
        <w:rFonts w:ascii="宋体" w:hAnsi="宋体" w:eastAsia="宋体" w:cs="宋体"/>
        <w:sz w:val="18"/>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40</w:t>
    </w:r>
    <w:r>
      <w:rPr>
        <w:rFonts w:ascii="宋体" w:hAnsi="宋体" w:eastAsia="宋体" w:cs="宋体"/>
        <w:sz w:val="18"/>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41</w:t>
    </w:r>
    <w:r>
      <w:rPr>
        <w:rFonts w:ascii="宋体" w:hAnsi="宋体" w:eastAsia="宋体" w:cs="宋体"/>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4</w:t>
    </w:r>
    <w:r>
      <w:rPr>
        <w:rFonts w:ascii="宋体" w:hAnsi="宋体" w:eastAsia="宋体" w:cs="宋体"/>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5</w:t>
    </w:r>
    <w:r>
      <w:rPr>
        <w:rFonts w:ascii="宋体" w:hAnsi="宋体" w:eastAsia="宋体" w:cs="宋体"/>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6</w:t>
    </w:r>
    <w:r>
      <w:rPr>
        <w:rFonts w:ascii="宋体" w:hAnsi="宋体" w:eastAsia="宋体" w:cs="宋体"/>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7</w:t>
    </w:r>
    <w:r>
      <w:rPr>
        <w:rFonts w:ascii="宋体" w:hAnsi="宋体" w:eastAsia="宋体" w:cs="宋体"/>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10</w:t>
    </w:r>
    <w:r>
      <w:rPr>
        <w:rFonts w:ascii="宋体" w:hAnsi="宋体" w:eastAsia="宋体" w:cs="宋体"/>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12</w:t>
    </w:r>
    <w:r>
      <w:rPr>
        <w:rFonts w:ascii="宋体" w:hAnsi="宋体" w:eastAsia="宋体" w:cs="宋体"/>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14</w:t>
    </w:r>
    <w:r>
      <w:rPr>
        <w:rFonts w:ascii="宋体" w:hAnsi="宋体" w:eastAsia="宋体" w:cs="宋体"/>
        <w:sz w:val="1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isplayHorizontalDrawingGridEvery w:val="1"/>
  <w:displayVerticalDrawingGridEvery w:val="1"/>
  <w:characterSpacingControl w:val="compressPunctuation"/>
  <w:compat>
    <w:spaceForUL/>
    <w:doNotLeaveBackslashAlone/>
    <w:ulTrailSpace/>
    <w:splitPgBreakAndParaMark/>
    <w:doNotExpandShiftReturn/>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仿宋"/>
      <w:bCs/>
      <w:kern w:val="44"/>
      <w:sz w:val="32"/>
      <w:szCs w:val="44"/>
    </w:rPr>
  </w:style>
  <w:style w:type="paragraph" w:styleId="3">
    <w:name w:val="heading 2"/>
    <w:basedOn w:val="4"/>
    <w:next w:val="4"/>
    <w:qFormat/>
    <w:uiPriority w:val="0"/>
    <w:pPr>
      <w:keepNext/>
      <w:keepLines/>
      <w:spacing w:before="260" w:after="260" w:line="416" w:lineRule="auto"/>
      <w:outlineLvl w:val="1"/>
    </w:pPr>
    <w:rPr>
      <w:rFonts w:ascii="Arial" w:hAnsi="Arial" w:eastAsia="仿宋"/>
      <w:bCs/>
      <w:sz w:val="32"/>
      <w:szCs w:val="32"/>
    </w:rPr>
  </w:style>
  <w:style w:type="paragraph" w:styleId="5">
    <w:name w:val="heading 3"/>
    <w:basedOn w:val="4"/>
    <w:next w:val="4"/>
    <w:link w:val="28"/>
    <w:qFormat/>
    <w:uiPriority w:val="0"/>
    <w:pPr>
      <w:keepNext/>
      <w:keepLines/>
      <w:spacing w:before="260" w:after="260" w:line="416" w:lineRule="auto"/>
      <w:outlineLvl w:val="2"/>
    </w:pPr>
    <w:rPr>
      <w:rFonts w:eastAsia="仿宋"/>
      <w:bCs/>
      <w:sz w:val="32"/>
      <w:szCs w:val="32"/>
    </w:rPr>
  </w:style>
  <w:style w:type="paragraph" w:styleId="6">
    <w:name w:val="heading 4"/>
    <w:basedOn w:val="4"/>
    <w:next w:val="4"/>
    <w:link w:val="25"/>
    <w:qFormat/>
    <w:uiPriority w:val="0"/>
    <w:pPr>
      <w:keepNext/>
      <w:keepLines/>
      <w:spacing w:before="280" w:after="290" w:line="376" w:lineRule="auto"/>
      <w:outlineLvl w:val="3"/>
    </w:pPr>
    <w:rPr>
      <w:rFonts w:ascii="Cambria" w:hAnsi="Cambria" w:eastAsia="仿宋"/>
      <w:bCs/>
      <w:sz w:val="32"/>
      <w:szCs w:val="28"/>
    </w:rPr>
  </w:style>
  <w:style w:type="character" w:default="1" w:styleId="19">
    <w:name w:val="Default Paragraph Font"/>
    <w:semiHidden/>
    <w:unhideWhenUsed/>
    <w:qFormat/>
    <w:uiPriority w:val="1"/>
  </w:style>
  <w:style w:type="paragraph" w:customStyle="1" w:styleId="4">
    <w:name w:val="No Spacing"/>
    <w:link w:val="26"/>
    <w:qFormat/>
    <w:uiPriority w:val="0"/>
    <w:pPr>
      <w:ind w:firstLine="200" w:firstLineChars="200"/>
    </w:pPr>
    <w:rPr>
      <w:rFonts w:ascii="Times New Roman" w:hAnsi="Times New Roman" w:eastAsia="仿宋_GB2312" w:cs="Times New Roman"/>
      <w:sz w:val="30"/>
      <w:szCs w:val="22"/>
      <w:lang w:val="en-US" w:eastAsia="zh-CN" w:bidi="ar-SA"/>
    </w:rPr>
  </w:style>
  <w:style w:type="paragraph" w:styleId="7">
    <w:name w:val="toc 7"/>
    <w:basedOn w:val="1"/>
    <w:next w:val="1"/>
    <w:qFormat/>
    <w:uiPriority w:val="0"/>
    <w:pPr>
      <w:ind w:left="1260"/>
      <w:jc w:val="left"/>
    </w:pPr>
    <w:rPr>
      <w:sz w:val="20"/>
      <w:szCs w:val="20"/>
    </w:rPr>
  </w:style>
  <w:style w:type="paragraph" w:styleId="8">
    <w:name w:val="Document Map"/>
    <w:basedOn w:val="1"/>
    <w:qFormat/>
    <w:uiPriority w:val="0"/>
    <w:pPr>
      <w:shd w:val="clear" w:color="auto" w:fill="000080"/>
    </w:pPr>
  </w:style>
  <w:style w:type="paragraph" w:styleId="9">
    <w:name w:val="toc 5"/>
    <w:basedOn w:val="1"/>
    <w:next w:val="1"/>
    <w:qFormat/>
    <w:uiPriority w:val="0"/>
    <w:pPr>
      <w:ind w:left="840"/>
      <w:jc w:val="left"/>
    </w:pPr>
    <w:rPr>
      <w:sz w:val="20"/>
      <w:szCs w:val="20"/>
    </w:rPr>
  </w:style>
  <w:style w:type="paragraph" w:styleId="10">
    <w:name w:val="toc 3"/>
    <w:next w:val="5"/>
    <w:qFormat/>
    <w:uiPriority w:val="0"/>
    <w:pPr>
      <w:adjustRightInd w:val="0"/>
      <w:snapToGrid w:val="0"/>
      <w:spacing w:line="360" w:lineRule="auto"/>
      <w:ind w:firstLine="400" w:firstLineChars="400"/>
      <w:jc w:val="left"/>
    </w:pPr>
    <w:rPr>
      <w:rFonts w:ascii="Times New Roman" w:hAnsi="Times New Roman" w:eastAsia="仿宋" w:cs="Times New Roman"/>
      <w:sz w:val="32"/>
      <w:szCs w:val="20"/>
      <w:lang w:val="en-US" w:eastAsia="en-US" w:bidi="ar-SA"/>
    </w:rPr>
  </w:style>
  <w:style w:type="paragraph" w:styleId="11">
    <w:name w:val="toc 8"/>
    <w:basedOn w:val="1"/>
    <w:next w:val="1"/>
    <w:qFormat/>
    <w:uiPriority w:val="0"/>
    <w:pPr>
      <w:ind w:left="1470"/>
      <w:jc w:val="left"/>
    </w:pPr>
    <w:rPr>
      <w:sz w:val="20"/>
      <w:szCs w:val="20"/>
    </w:rPr>
  </w:style>
  <w:style w:type="paragraph" w:styleId="12">
    <w:name w:val="footer"/>
    <w:basedOn w:val="1"/>
    <w:link w:val="27"/>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next w:val="4"/>
    <w:qFormat/>
    <w:uiPriority w:val="0"/>
    <w:pPr>
      <w:adjustRightInd w:val="0"/>
      <w:snapToGrid w:val="0"/>
      <w:spacing w:line="360" w:lineRule="auto"/>
      <w:jc w:val="left"/>
    </w:pPr>
    <w:rPr>
      <w:rFonts w:ascii="Times New Roman" w:hAnsi="Times New Roman" w:eastAsia="仿宋" w:cs="Times New Roman"/>
      <w:bCs/>
      <w:sz w:val="32"/>
      <w:szCs w:val="20"/>
      <w:lang w:val="en-US" w:eastAsia="en-US" w:bidi="ar-SA"/>
    </w:rPr>
  </w:style>
  <w:style w:type="paragraph" w:styleId="15">
    <w:name w:val="toc 4"/>
    <w:basedOn w:val="1"/>
    <w:next w:val="1"/>
    <w:qFormat/>
    <w:uiPriority w:val="0"/>
    <w:pPr>
      <w:ind w:left="630"/>
      <w:jc w:val="left"/>
    </w:pPr>
    <w:rPr>
      <w:sz w:val="20"/>
      <w:szCs w:val="20"/>
    </w:rPr>
  </w:style>
  <w:style w:type="paragraph" w:styleId="16">
    <w:name w:val="toc 6"/>
    <w:basedOn w:val="1"/>
    <w:next w:val="1"/>
    <w:qFormat/>
    <w:uiPriority w:val="0"/>
    <w:pPr>
      <w:ind w:left="1050"/>
      <w:jc w:val="left"/>
    </w:pPr>
    <w:rPr>
      <w:sz w:val="20"/>
      <w:szCs w:val="20"/>
    </w:rPr>
  </w:style>
  <w:style w:type="paragraph" w:styleId="17">
    <w:name w:val="toc 2"/>
    <w:next w:val="4"/>
    <w:qFormat/>
    <w:uiPriority w:val="0"/>
    <w:pPr>
      <w:adjustRightInd w:val="0"/>
      <w:snapToGrid w:val="0"/>
      <w:spacing w:line="360" w:lineRule="auto"/>
      <w:ind w:firstLine="200" w:firstLineChars="200"/>
      <w:jc w:val="left"/>
    </w:pPr>
    <w:rPr>
      <w:rFonts w:ascii="Times New Roman" w:hAnsi="Times New Roman" w:eastAsia="仿宋" w:cs="Times New Roman"/>
      <w:iCs/>
      <w:sz w:val="32"/>
      <w:szCs w:val="20"/>
      <w:lang w:val="en-US" w:eastAsia="en-US" w:bidi="ar-SA"/>
    </w:rPr>
  </w:style>
  <w:style w:type="paragraph" w:styleId="18">
    <w:name w:val="toc 9"/>
    <w:basedOn w:val="1"/>
    <w:next w:val="1"/>
    <w:qFormat/>
    <w:uiPriority w:val="0"/>
    <w:pPr>
      <w:ind w:left="1680"/>
      <w:jc w:val="left"/>
    </w:pPr>
    <w:rPr>
      <w:sz w:val="20"/>
      <w:szCs w:val="20"/>
    </w:rPr>
  </w:style>
  <w:style w:type="character" w:styleId="20">
    <w:name w:val="page number"/>
    <w:basedOn w:val="19"/>
    <w:qFormat/>
    <w:uiPriority w:val="0"/>
    <w:rPr/>
  </w:style>
  <w:style w:type="character" w:styleId="21">
    <w:name w:val="Hyperlink"/>
    <w:qFormat/>
    <w:uiPriority w:val="0"/>
    <w:rPr>
      <w:rFonts w:ascii="宋体" w:hAnsi="宋体" w:eastAsia="仿宋" w:cs="Times New Roman"/>
      <w:kern w:val="2"/>
      <w:sz w:val="32"/>
      <w:szCs w:val="32"/>
      <w:lang w:val="en-US" w:eastAsia="zh-CN" w:bidi="ar-SA"/>
    </w:rPr>
  </w:style>
  <w:style w:type="paragraph" w:customStyle="1" w:styleId="22">
    <w:name w:val="List Paragraph"/>
    <w:basedOn w:val="1"/>
    <w:qFormat/>
    <w:uiPriority w:val="0"/>
    <w:pPr>
      <w:ind w:firstLine="420" w:firstLineChars="200"/>
    </w:pPr>
  </w:style>
  <w:style w:type="paragraph" w:customStyle="1" w:styleId="23">
    <w:name w:val="MsoNormal"/>
    <w:basedOn w:val="1"/>
    <w:qFormat/>
    <w:uiPriority w:val="0"/>
  </w:style>
  <w:style w:type="paragraph" w:customStyle="1" w:styleId="24">
    <w:name w:val="p"/>
    <w:basedOn w:val="1"/>
    <w:qFormat/>
    <w:uiPriority w:val="0"/>
  </w:style>
  <w:style w:type="character" w:customStyle="1" w:styleId="25">
    <w:name w:val="标题 4 字符"/>
    <w:basedOn w:val="19"/>
    <w:link w:val="6"/>
    <w:qFormat/>
    <w:uiPriority w:val="0"/>
    <w:rPr>
      <w:rFonts w:ascii="Cambria" w:hAnsi="Cambria" w:eastAsia="仿宋"/>
      <w:bCs/>
      <w:kern w:val="2"/>
      <w:sz w:val="32"/>
      <w:szCs w:val="28"/>
    </w:rPr>
  </w:style>
  <w:style w:type="character" w:customStyle="1" w:styleId="26">
    <w:name w:val="无间隔 字符"/>
    <w:link w:val="4"/>
    <w:qFormat/>
    <w:locked/>
    <w:uiPriority w:val="0"/>
    <w:rPr>
      <w:rFonts w:eastAsia="仿宋_GB2312"/>
      <w:sz w:val="30"/>
      <w:szCs w:val="22"/>
      <w:lang w:bidi="ar-SA"/>
    </w:rPr>
  </w:style>
  <w:style w:type="character" w:customStyle="1" w:styleId="27">
    <w:name w:val="页脚 字符"/>
    <w:basedOn w:val="19"/>
    <w:link w:val="12"/>
    <w:qFormat/>
    <w:uiPriority w:val="0"/>
    <w:rPr>
      <w:kern w:val="2"/>
      <w:sz w:val="18"/>
      <w:szCs w:val="18"/>
    </w:rPr>
  </w:style>
  <w:style w:type="character" w:customStyle="1" w:styleId="28">
    <w:name w:val="标题 3 字符"/>
    <w:basedOn w:val="19"/>
    <w:link w:val="5"/>
    <w:qFormat/>
    <w:uiPriority w:val="0"/>
    <w:rPr>
      <w:rFonts w:eastAsia="仿宋"/>
      <w:bCs/>
      <w:kern w:val="2"/>
      <w:sz w:val="32"/>
      <w:szCs w:val="32"/>
    </w:rPr>
  </w:style>
  <w:style w:type="character" w:customStyle="1" w:styleId="29">
    <w:name w:val="15"/>
    <w:basedOn w:val="19"/>
    <w:qFormat/>
    <w:uiPriority w:val="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footer" Target="footer7.xml"/><Relationship Id="rId11" Type="http://schemas.openxmlformats.org/officeDocument/2006/relationships/footer" Target="footer8.xml"/><Relationship Id="rId12" Type="http://schemas.openxmlformats.org/officeDocument/2006/relationships/footer" Target="footer9.xml"/><Relationship Id="rId13" Type="http://schemas.openxmlformats.org/officeDocument/2006/relationships/footer" Target="footer10.xml"/><Relationship Id="rId14" Type="http://schemas.openxmlformats.org/officeDocument/2006/relationships/footer" Target="footer11.xml"/><Relationship Id="rId15" Type="http://schemas.openxmlformats.org/officeDocument/2006/relationships/footer" Target="footer12.xml"/><Relationship Id="rId16" Type="http://schemas.openxmlformats.org/officeDocument/2006/relationships/footer" Target="footer13.xml"/><Relationship Id="rId17" Type="http://schemas.openxmlformats.org/officeDocument/2006/relationships/footer" Target="footer14.xml"/><Relationship Id="rId18" Type="http://schemas.openxmlformats.org/officeDocument/2006/relationships/footer" Target="footer15.xml"/><Relationship Id="rId19" Type="http://schemas.openxmlformats.org/officeDocument/2006/relationships/footer" Target="footer16.xml"/><Relationship Id="rId2" Type="http://schemas.openxmlformats.org/officeDocument/2006/relationships/styles" Target="styles.xml"/><Relationship Id="rId20" Type="http://schemas.openxmlformats.org/officeDocument/2006/relationships/footer" Target="footer17.xml"/><Relationship Id="rId21" Type="http://schemas.openxmlformats.org/officeDocument/2006/relationships/footer" Target="footer18.xml"/><Relationship Id="rId22" Type="http://schemas.openxmlformats.org/officeDocument/2006/relationships/footer" Target="footer19.xml"/><Relationship Id="rId23" Type="http://schemas.openxmlformats.org/officeDocument/2006/relationships/footer" Target="footer20.xml"/><Relationship Id="rId24" Type="http://schemas.openxmlformats.org/officeDocument/2006/relationships/footer" Target="footer21.xml"/><Relationship Id="rId25" Type="http://schemas.openxmlformats.org/officeDocument/2006/relationships/footer" Target="footer22.xml"/><Relationship Id="rId26" Type="http://schemas.openxmlformats.org/officeDocument/2006/relationships/theme" Target="theme/theme1.xml"/><Relationship Id="rId27" Type="http://schemas.openxmlformats.org/officeDocument/2006/relationships/customXml" Target="../customXml/item1.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oter" Target="footer4.xml"/><Relationship Id="rId8" Type="http://schemas.openxmlformats.org/officeDocument/2006/relationships/footer" Target="footer5.xml"/><Relationship Id="rId9"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41</Pages>
  <Words>20</Words>
  <Characters>35</Characters>
  <Lines>1</Lines>
  <Paragraphs>1</Paragraphs>
  <TotalTime>0</TotalTime>
  <ScaleCrop>false</ScaleCrop>
  <LinksUpToDate>false</LinksUpToDate>
  <CharactersWithSpaces>0</CharactersWithSpaces>
  <Application>WPS Office 专业版_9.1.0.4545_{F1E327BC-269C-435d-A152-05C5408002CA}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2022-03-25T04:40:00Z</dcterms:created>
  <dc:creator>Administrator</dc:creator>
  <cp:lastModifiedBy>Administrator</cp:lastModifiedBy>
  <cp:lastPrinted>2021-04-17T16:45:00Z</cp:lastPrinted>
  <dcterms:modified xsi:type="dcterms:W3CDTF">2025-09-01T02:49:38Z</dcterms:modified>
  <dc:title>××年度××部门/单位</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51EA75710E61423394694D1476351CDD_13</vt:lpwstr>
  </property>
  <property fmtid="{D5CDD505-2E9C-101B-9397-08002B2CF9AE}" pid="3" name="KSOProductBuildVer">
    <vt:lpwstr>2052-9.1.0.4545</vt:lpwstr>
  </property>
  <property fmtid="{D5CDD505-2E9C-101B-9397-08002B2CF9AE}" pid="4" name="KSOTemplateDocerSaveRecord">
    <vt:lpwstr>eyJoZGlkIjoiMGU0NWVkNDhlOTkyOTEzYmI4NjBkNjJlZWJjYTAyZDQiLCJ1c2VySWQiOiI0MjEyNzUxNjYifQ==</vt:lpwstr>
  </property>
</Properties>
</file>