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480" w:lineRule="exact"/>
        <w:ind w:leftChars="0" w:right="0" w:rightChars="0"/>
        <w:jc w:val="center"/>
        <w:outlineLvl w:val="9"/>
        <w:rPr>
          <w:rFonts w:hint="eastAsia" w:ascii="黑体" w:hAnsi="黑体" w:eastAsia="黑体" w:cs="黑体"/>
          <w:b w:val="0"/>
          <w:bCs/>
          <w:color w:val="auto"/>
          <w:sz w:val="44"/>
          <w:szCs w:val="44"/>
          <w:u w:val="none"/>
          <w:lang w:val="en-US" w:eastAsia="zh-CN"/>
        </w:rPr>
      </w:pPr>
      <w:r>
        <w:rPr>
          <w:rFonts w:hint="eastAsia" w:ascii="黑体" w:hAnsi="黑体" w:eastAsia="黑体" w:cs="黑体"/>
          <w:b w:val="0"/>
          <w:bCs/>
          <w:color w:val="auto"/>
          <w:sz w:val="32"/>
          <w:szCs w:val="32"/>
          <w:u w:val="none"/>
          <w:lang w:val="en-US" w:eastAsia="zh-CN"/>
        </w:rPr>
        <w:t>2022年回思明区升初中网上信息登记操作指南（电脑端）</w:t>
      </w:r>
    </w:p>
    <w:p>
      <w:pPr>
        <w:pStyle w:val="7"/>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480" w:lineRule="exact"/>
        <w:ind w:leftChars="0" w:right="0" w:rightChars="0"/>
        <w:jc w:val="center"/>
        <w:outlineLvl w:val="9"/>
        <w:rPr>
          <w:rFonts w:hint="eastAsia" w:ascii="黑体" w:hAnsi="黑体" w:eastAsia="黑体" w:cs="黑体"/>
          <w:b w:val="0"/>
          <w:bCs/>
          <w:color w:val="auto"/>
          <w:sz w:val="44"/>
          <w:szCs w:val="44"/>
          <w:u w:val="none"/>
          <w:lang w:val="en-US" w:eastAsia="zh-CN"/>
        </w:rPr>
      </w:pPr>
    </w:p>
    <w:p>
      <w:pPr>
        <w:ind w:firstLine="580"/>
        <w:jc w:val="left"/>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第一步：登录i厦门</w:t>
      </w:r>
      <w:bookmarkStart w:id="0" w:name="_GoBack"/>
      <w:bookmarkEnd w:id="0"/>
    </w:p>
    <w:p>
      <w:pPr>
        <w:ind w:firstLine="580"/>
        <w:jc w:val="left"/>
        <w:rPr>
          <w:rFonts w:hint="eastAsia" w:ascii="仿宋" w:hAnsi="仿宋" w:eastAsia="仿宋" w:cs="仿宋"/>
          <w:bCs/>
          <w:sz w:val="28"/>
          <w:szCs w:val="28"/>
        </w:rPr>
      </w:pPr>
      <w:r>
        <w:rPr>
          <w:rFonts w:hint="eastAsia" w:ascii="仿宋" w:hAnsi="仿宋" w:eastAsia="仿宋" w:cs="仿宋"/>
          <w:bCs/>
          <w:sz w:val="28"/>
          <w:szCs w:val="28"/>
          <w:lang w:val="en-US" w:eastAsia="zh-CN"/>
        </w:rPr>
        <w:t>在</w:t>
      </w:r>
      <w:r>
        <w:rPr>
          <w:rFonts w:hint="eastAsia" w:ascii="仿宋" w:hAnsi="仿宋" w:eastAsia="仿宋" w:cs="仿宋"/>
          <w:bCs/>
          <w:sz w:val="28"/>
          <w:szCs w:val="28"/>
        </w:rPr>
        <w:t>浏览器输入</w:t>
      </w:r>
      <w:r>
        <w:rPr>
          <w:rFonts w:hint="eastAsia" w:ascii="仿宋" w:hAnsi="仿宋" w:eastAsia="仿宋" w:cs="仿宋"/>
          <w:sz w:val="28"/>
          <w:szCs w:val="28"/>
        </w:rPr>
        <w:t>https://ixm.xm.gov.cn/</w:t>
      </w:r>
      <w:r>
        <w:rPr>
          <w:rFonts w:hint="eastAsia" w:ascii="仿宋" w:hAnsi="仿宋" w:eastAsia="仿宋" w:cs="仿宋"/>
          <w:bCs/>
          <w:sz w:val="28"/>
          <w:szCs w:val="28"/>
        </w:rPr>
        <w:t>进入i厦门官方网站首页</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点击右上角登录，填写已注册的账号、密码、拖动图行验证码点击登录按钮。</w:t>
      </w:r>
      <w:r>
        <w:rPr>
          <w:rFonts w:hint="eastAsia" w:ascii="仿宋" w:hAnsi="仿宋" w:eastAsia="仿宋" w:cs="仿宋"/>
          <w:bCs/>
          <w:sz w:val="28"/>
          <w:szCs w:val="28"/>
          <w:lang w:eastAsia="zh-CN"/>
        </w:rPr>
        <w:t>如果你没有i厦门的账号则需要</w:t>
      </w:r>
      <w:r>
        <w:rPr>
          <w:rFonts w:hint="eastAsia" w:ascii="仿宋" w:hAnsi="仿宋" w:eastAsia="仿宋" w:cs="仿宋"/>
          <w:bCs/>
          <w:sz w:val="28"/>
          <w:szCs w:val="28"/>
          <w:lang w:val="en-US" w:eastAsia="zh-CN"/>
        </w:rPr>
        <w:t>先</w:t>
      </w:r>
      <w:r>
        <w:rPr>
          <w:rFonts w:hint="eastAsia" w:ascii="仿宋" w:hAnsi="仿宋" w:eastAsia="仿宋" w:cs="仿宋"/>
          <w:bCs/>
          <w:sz w:val="28"/>
          <w:szCs w:val="28"/>
          <w:lang w:eastAsia="zh-CN"/>
        </w:rPr>
        <w:t>进行注册。</w:t>
      </w:r>
      <w:r>
        <w:rPr>
          <w:rFonts w:hint="eastAsia" w:ascii="仿宋" w:hAnsi="仿宋" w:eastAsia="仿宋" w:cs="仿宋"/>
          <w:bCs/>
          <w:sz w:val="28"/>
          <w:szCs w:val="28"/>
        </w:rPr>
        <w:t>（</w:t>
      </w:r>
      <w:r>
        <w:rPr>
          <w:rFonts w:hint="eastAsia" w:ascii="仿宋" w:hAnsi="仿宋" w:eastAsia="仿宋" w:cs="仿宋"/>
          <w:bCs/>
          <w:color w:val="FF0000"/>
          <w:sz w:val="28"/>
          <w:szCs w:val="28"/>
        </w:rPr>
        <w:t>注：未注册i厦门的需先进行注册，并完成到初级实名认证才可以报名。具体注册和认证流程请参考i厦门网站上的</w:t>
      </w:r>
      <w:r>
        <w:rPr>
          <w:rFonts w:hint="eastAsia" w:ascii="仿宋" w:hAnsi="仿宋" w:eastAsia="仿宋" w:cs="仿宋"/>
          <w:bCs/>
          <w:color w:val="FF0000"/>
          <w:sz w:val="28"/>
          <w:szCs w:val="28"/>
          <w:lang w:val="en-US" w:eastAsia="zh-CN"/>
        </w:rPr>
        <w:t>注册</w:t>
      </w:r>
      <w:r>
        <w:rPr>
          <w:rFonts w:hint="eastAsia" w:ascii="仿宋" w:hAnsi="仿宋" w:eastAsia="仿宋" w:cs="仿宋"/>
          <w:bCs/>
          <w:color w:val="FF0000"/>
          <w:sz w:val="28"/>
          <w:szCs w:val="28"/>
        </w:rPr>
        <w:t>指引。</w:t>
      </w:r>
      <w:r>
        <w:rPr>
          <w:rFonts w:hint="eastAsia" w:ascii="仿宋" w:hAnsi="仿宋" w:eastAsia="仿宋" w:cs="仿宋"/>
          <w:bCs/>
          <w:sz w:val="28"/>
          <w:szCs w:val="28"/>
        </w:rPr>
        <w:t>）</w:t>
      </w:r>
    </w:p>
    <w:p>
      <w:pPr>
        <w:ind w:left="0" w:leftChars="0" w:firstLine="0" w:firstLineChars="0"/>
        <w:jc w:val="left"/>
        <w:rPr>
          <w:rFonts w:hint="default" w:ascii="仿宋" w:hAnsi="仿宋" w:eastAsia="仿宋" w:cs="仿宋"/>
          <w:bCs/>
          <w:sz w:val="28"/>
          <w:szCs w:val="28"/>
          <w:lang w:val="en-US" w:eastAsia="zh-CN"/>
        </w:rPr>
      </w:pPr>
      <w:r>
        <w:drawing>
          <wp:inline distT="0" distB="0" distL="114300" distR="114300">
            <wp:extent cx="5917565" cy="2684145"/>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917565" cy="2684145"/>
                    </a:xfrm>
                    <a:prstGeom prst="rect">
                      <a:avLst/>
                    </a:prstGeom>
                    <a:noFill/>
                    <a:ln>
                      <a:noFill/>
                    </a:ln>
                  </pic:spPr>
                </pic:pic>
              </a:graphicData>
            </a:graphic>
          </wp:inline>
        </w:drawing>
      </w:r>
    </w:p>
    <w:p>
      <w:pPr>
        <w:jc w:val="center"/>
      </w:pPr>
      <w:r>
        <w:drawing>
          <wp:inline distT="0" distB="0" distL="114300" distR="114300">
            <wp:extent cx="5906770" cy="2691130"/>
            <wp:effectExtent l="0" t="0" r="1778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906770" cy="2691130"/>
                    </a:xfrm>
                    <a:prstGeom prst="rect">
                      <a:avLst/>
                    </a:prstGeom>
                    <a:noFill/>
                    <a:ln>
                      <a:noFill/>
                    </a:ln>
                  </pic:spPr>
                </pic:pic>
              </a:graphicData>
            </a:graphic>
          </wp:inline>
        </w:drawing>
      </w:r>
    </w:p>
    <w:p>
      <w:pPr>
        <w:jc w:val="center"/>
        <w:rPr>
          <w:rFonts w:hint="eastAsia"/>
          <w:lang w:eastAsia="zh-CN"/>
        </w:rPr>
      </w:pPr>
    </w:p>
    <w:p>
      <w:pPr>
        <w:ind w:firstLine="602"/>
        <w:jc w:val="left"/>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第二步：进入回思明区升初中系统</w:t>
      </w:r>
    </w:p>
    <w:p>
      <w:pPr>
        <w:ind w:firstLine="580"/>
        <w:jc w:val="left"/>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登录i厦门之后在首页搜索框下面找到“i教育-基础教育报名-回户籍地升初中”，然后点击“回思明区升初中”</w:t>
      </w:r>
    </w:p>
    <w:p>
      <w:pPr>
        <w:jc w:val="center"/>
      </w:pPr>
      <w:r>
        <w:drawing>
          <wp:inline distT="0" distB="0" distL="114300" distR="114300">
            <wp:extent cx="5917565" cy="2740025"/>
            <wp:effectExtent l="0" t="0" r="6985" b="317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8"/>
                    <a:stretch>
                      <a:fillRect/>
                    </a:stretch>
                  </pic:blipFill>
                  <pic:spPr>
                    <a:xfrm>
                      <a:off x="0" y="0"/>
                      <a:ext cx="5917565" cy="2740025"/>
                    </a:xfrm>
                    <a:prstGeom prst="rect">
                      <a:avLst/>
                    </a:prstGeom>
                    <a:noFill/>
                    <a:ln>
                      <a:noFill/>
                    </a:ln>
                  </pic:spPr>
                </pic:pic>
              </a:graphicData>
            </a:graphic>
          </wp:inline>
        </w:drawing>
      </w:r>
    </w:p>
    <w:p>
      <w:pPr>
        <w:jc w:val="center"/>
      </w:pPr>
    </w:p>
    <w:p>
      <w:pPr>
        <w:jc w:val="center"/>
        <w:rPr>
          <w:rFonts w:hint="eastAsia"/>
          <w:lang w:val="en-US" w:eastAsia="zh-CN"/>
        </w:rPr>
      </w:pPr>
      <w:r>
        <w:rPr>
          <w:rFonts w:hint="eastAsia"/>
          <w:lang w:val="en-US" w:eastAsia="zh-CN"/>
        </w:rPr>
        <w:drawing>
          <wp:inline distT="0" distB="0" distL="114300" distR="114300">
            <wp:extent cx="5909310" cy="3587115"/>
            <wp:effectExtent l="0" t="0" r="15240" b="13335"/>
            <wp:docPr id="4"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
                    <pic:cNvPicPr>
                      <a:picLocks noChangeAspect="1"/>
                    </pic:cNvPicPr>
                  </pic:nvPicPr>
                  <pic:blipFill>
                    <a:blip r:embed="rId9"/>
                    <a:stretch>
                      <a:fillRect/>
                    </a:stretch>
                  </pic:blipFill>
                  <pic:spPr>
                    <a:xfrm>
                      <a:off x="0" y="0"/>
                      <a:ext cx="5909310" cy="3587115"/>
                    </a:xfrm>
                    <a:prstGeom prst="rect">
                      <a:avLst/>
                    </a:prstGeom>
                  </pic:spPr>
                </pic:pic>
              </a:graphicData>
            </a:graphic>
          </wp:inline>
        </w:drawing>
      </w:r>
    </w:p>
    <w:p>
      <w:pPr>
        <w:ind w:firstLine="602"/>
        <w:jc w:val="left"/>
        <w:rPr>
          <w:rFonts w:hint="default"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第三步：信息填写</w:t>
      </w:r>
    </w:p>
    <w:p>
      <w:pPr>
        <w:ind w:firstLine="580"/>
        <w:jc w:val="left"/>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选择户籍类型。点击“回思明区升初中”进入回思明区升初中网上信息登记填写界面，可以看到“本区户籍适龄儿童”“港澳适龄儿童”“台湾适龄儿童”“华侨、外籍适龄儿童”四类户籍类型。选择对应的户籍类型进入并填写相关信息</w:t>
      </w:r>
    </w:p>
    <w:p>
      <w:pPr>
        <w:numPr>
          <w:ilvl w:val="0"/>
          <w:numId w:val="0"/>
        </w:numPr>
        <w:rPr>
          <w:rFonts w:hint="eastAsia" w:eastAsia="宋体"/>
          <w:lang w:val="en-US" w:eastAsia="zh-CN"/>
        </w:rPr>
      </w:pPr>
      <w:r>
        <w:rPr>
          <w:rFonts w:hint="eastAsia" w:eastAsia="宋体"/>
          <w:lang w:val="en-US" w:eastAsia="zh-CN"/>
        </w:rPr>
        <w:drawing>
          <wp:inline distT="0" distB="0" distL="114300" distR="114300">
            <wp:extent cx="5906770" cy="2513965"/>
            <wp:effectExtent l="0" t="0" r="11430" b="635"/>
            <wp:docPr id="5" name="图片 5" descr="]D]O%)J)@ZPNW$5UNL`Z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J)@ZPNW$5UNL`ZQ@W"/>
                    <pic:cNvPicPr>
                      <a:picLocks noChangeAspect="1"/>
                    </pic:cNvPicPr>
                  </pic:nvPicPr>
                  <pic:blipFill>
                    <a:blip r:embed="rId10"/>
                    <a:stretch>
                      <a:fillRect/>
                    </a:stretch>
                  </pic:blipFill>
                  <pic:spPr>
                    <a:xfrm>
                      <a:off x="0" y="0"/>
                      <a:ext cx="5906770" cy="2513965"/>
                    </a:xfrm>
                    <a:prstGeom prst="rect">
                      <a:avLst/>
                    </a:prstGeom>
                  </pic:spPr>
                </pic:pic>
              </a:graphicData>
            </a:graphic>
          </wp:inline>
        </w:drawing>
      </w:r>
    </w:p>
    <w:p>
      <w:pPr>
        <w:numPr>
          <w:ilvl w:val="0"/>
          <w:numId w:val="1"/>
        </w:numPr>
        <w:ind w:firstLine="602"/>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内容填写。主要填写学生基本信息、受教育情况、监护人信息、房产信息、申请理由、现场确认报名人信息等。</w:t>
      </w:r>
    </w:p>
    <w:p>
      <w:pPr>
        <w:numPr>
          <w:ilvl w:val="0"/>
          <w:numId w:val="0"/>
        </w:numPr>
        <w:ind w:firstLine="420" w:firstLineChars="0"/>
        <w:jc w:val="left"/>
        <w:rPr>
          <w:rFonts w:hint="default"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如果是商品房，则上传产权证；公租房、廉租房则上传租赁合同等相关证明材料。</w:t>
      </w:r>
    </w:p>
    <w:p>
      <w:pPr>
        <w:numPr>
          <w:ilvl w:val="0"/>
          <w:numId w:val="0"/>
        </w:numPr>
        <w:jc w:val="center"/>
      </w:pPr>
      <w:r>
        <w:drawing>
          <wp:inline distT="0" distB="0" distL="114300" distR="114300">
            <wp:extent cx="5228590" cy="8938895"/>
            <wp:effectExtent l="0" t="0" r="381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rcRect l="6120" t="6127" r="5476" b="6746"/>
                    <a:stretch>
                      <a:fillRect/>
                    </a:stretch>
                  </pic:blipFill>
                  <pic:spPr>
                    <a:xfrm>
                      <a:off x="0" y="0"/>
                      <a:ext cx="5228590" cy="8938895"/>
                    </a:xfrm>
                    <a:prstGeom prst="rect">
                      <a:avLst/>
                    </a:prstGeom>
                    <a:noFill/>
                    <a:ln>
                      <a:noFill/>
                    </a:ln>
                  </pic:spPr>
                </pic:pic>
              </a:graphicData>
            </a:graphic>
          </wp:inline>
        </w:drawing>
      </w:r>
    </w:p>
    <w:p>
      <w:pPr>
        <w:numPr>
          <w:ilvl w:val="0"/>
          <w:numId w:val="0"/>
        </w:numPr>
        <w:jc w:val="center"/>
        <w:rPr>
          <w:rFonts w:hint="default"/>
          <w:lang w:val="en-US" w:eastAsia="zh-CN"/>
        </w:rPr>
      </w:pPr>
    </w:p>
    <w:p>
      <w:pPr>
        <w:numPr>
          <w:ilvl w:val="0"/>
          <w:numId w:val="1"/>
        </w:numPr>
        <w:ind w:left="0" w:leftChars="0" w:firstLine="602"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如果申请回户籍地的学生信息不止一个，可以点击“新增一条多孩信息”，添加一个学生的基本信息和受教育情况。特别提醒：华侨、外籍适龄儿童需要选择国籍</w:t>
      </w:r>
    </w:p>
    <w:p>
      <w:pPr>
        <w:numPr>
          <w:ilvl w:val="0"/>
          <w:numId w:val="1"/>
        </w:numPr>
        <w:ind w:left="0" w:leftChars="0" w:firstLine="602" w:firstLineChars="0"/>
        <w:jc w:val="left"/>
        <w:rPr>
          <w:rFonts w:hint="default"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“在校生证明”根据要求下载模板填写完整之后进行上传，若是港澳台侨外则需上传“港澳台侨外通行证”等材料。</w:t>
      </w:r>
    </w:p>
    <w:p>
      <w:pPr>
        <w:numPr>
          <w:ilvl w:val="0"/>
          <w:numId w:val="0"/>
        </w:numPr>
        <w:jc w:val="left"/>
        <w:rPr>
          <w:rFonts w:hint="default" w:ascii="华文楷体" w:hAnsi="华文楷体" w:eastAsia="华文楷体" w:cs="华文楷体"/>
          <w:b w:val="0"/>
          <w:bCs/>
          <w:color w:val="auto"/>
          <w:sz w:val="30"/>
          <w:szCs w:val="30"/>
          <w:u w:val="none"/>
          <w:lang w:val="en-US" w:eastAsia="zh-CN"/>
        </w:rPr>
      </w:pPr>
    </w:p>
    <w:p>
      <w:pPr>
        <w:ind w:firstLine="602"/>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5.填写完信息之后可以提交报名信息，提交成功之后会显示提交成功的界面，请注意阅读文字内容和查看审核信息的时间，不要错过。</w:t>
      </w:r>
    </w:p>
    <w:p>
      <w:pPr>
        <w:numPr>
          <w:ilvl w:val="0"/>
          <w:numId w:val="0"/>
        </w:numPr>
        <w:jc w:val="center"/>
        <w:rPr>
          <w:rFonts w:hint="eastAsia" w:eastAsia="宋体"/>
          <w:lang w:val="en-US" w:eastAsia="zh-CN"/>
        </w:rPr>
      </w:pPr>
      <w:r>
        <w:rPr>
          <w:rFonts w:hint="eastAsia" w:eastAsia="宋体"/>
          <w:lang w:val="en-US" w:eastAsia="zh-CN"/>
        </w:rPr>
        <w:drawing>
          <wp:inline distT="0" distB="0" distL="114300" distR="114300">
            <wp:extent cx="5908675" cy="3604260"/>
            <wp:effectExtent l="0" t="0" r="9525" b="2540"/>
            <wp:docPr id="11" name="图片 11" descr="62Q7EC38}Z`IA)5~FFDB7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2Q7EC38}Z`IA)5~FFDB7VW"/>
                    <pic:cNvPicPr>
                      <a:picLocks noChangeAspect="1"/>
                    </pic:cNvPicPr>
                  </pic:nvPicPr>
                  <pic:blipFill>
                    <a:blip r:embed="rId12"/>
                    <a:stretch>
                      <a:fillRect/>
                    </a:stretch>
                  </pic:blipFill>
                  <pic:spPr>
                    <a:xfrm>
                      <a:off x="0" y="0"/>
                      <a:ext cx="5908675" cy="3604260"/>
                    </a:xfrm>
                    <a:prstGeom prst="rect">
                      <a:avLst/>
                    </a:prstGeom>
                  </pic:spPr>
                </pic:pic>
              </a:graphicData>
            </a:graphic>
          </wp:inline>
        </w:drawing>
      </w:r>
    </w:p>
    <w:p>
      <w:pPr>
        <w:jc w:val="left"/>
        <w:rPr>
          <w:rFonts w:hint="default" w:eastAsia="宋体"/>
          <w:lang w:val="en-US" w:eastAsia="zh-CN"/>
        </w:rPr>
      </w:pPr>
    </w:p>
    <w:p>
      <w:pPr>
        <w:jc w:val="center"/>
        <w:rPr>
          <w:rFonts w:hint="eastAsia"/>
          <w:lang w:val="en-US" w:eastAsia="zh-CN"/>
        </w:rPr>
      </w:pPr>
    </w:p>
    <w:p>
      <w:pPr>
        <w:numPr>
          <w:ilvl w:val="0"/>
          <w:numId w:val="2"/>
        </w:numPr>
        <w:ind w:left="420" w:leftChars="0" w:hanging="420" w:firstLineChars="0"/>
        <w:jc w:val="left"/>
        <w:rPr>
          <w:rFonts w:hint="eastAsia" w:ascii="仿宋_GB2312" w:eastAsia="仿宋_GB2312" w:cs="仿宋_GB2312"/>
          <w:b/>
          <w:bCs w:val="0"/>
          <w:sz w:val="30"/>
          <w:szCs w:val="30"/>
          <w:lang w:val="en-US" w:eastAsia="zh-CN"/>
        </w:rPr>
      </w:pPr>
      <w:r>
        <w:rPr>
          <w:rFonts w:hint="eastAsia" w:ascii="仿宋_GB2312" w:eastAsia="仿宋_GB2312" w:cs="仿宋_GB2312"/>
          <w:b/>
          <w:bCs w:val="0"/>
          <w:sz w:val="30"/>
          <w:szCs w:val="30"/>
          <w:lang w:val="en-US" w:eastAsia="zh-CN"/>
        </w:rPr>
        <w:t>常见问题：</w:t>
      </w:r>
    </w:p>
    <w:p>
      <w:pPr>
        <w:jc w:val="left"/>
        <w:rPr>
          <w:rFonts w:hint="eastAsia" w:ascii="仿宋" w:hAnsi="仿宋" w:eastAsia="仿宋" w:cs="仿宋"/>
          <w:b/>
          <w:bCs w:val="0"/>
          <w:color w:val="auto"/>
          <w:sz w:val="30"/>
          <w:szCs w:val="30"/>
          <w:u w:val="none"/>
          <w:lang w:val="en-US" w:eastAsia="zh-CN"/>
        </w:rPr>
      </w:pPr>
      <w:r>
        <w:rPr>
          <w:rFonts w:hint="eastAsia" w:ascii="仿宋" w:hAnsi="仿宋" w:eastAsia="仿宋" w:cs="仿宋"/>
          <w:b/>
          <w:bCs w:val="0"/>
          <w:color w:val="auto"/>
          <w:sz w:val="30"/>
          <w:szCs w:val="30"/>
          <w:u w:val="none"/>
          <w:lang w:val="en-US" w:eastAsia="zh-CN"/>
        </w:rPr>
        <w:t>1、家长想回户籍所在地参加小升初派位需要在哪里进行申请？</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要办理回思明区升初中，首先需在i厦门网站上注册账号，注册账号的详细说明请查看i厦门右上角的注册指引。注意：注册时所录入的注册电话将作为思明区招考中心与学生监护人的重要联系方式，需能接收短信并随时保持畅通。</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2、回思明区升初中网上信息登记是什么时候？</w:t>
      </w:r>
    </w:p>
    <w:p>
      <w:pPr>
        <w:ind w:firstLine="420" w:firstLineChars="0"/>
        <w:jc w:val="left"/>
        <w:rPr>
          <w:rFonts w:hint="eastAsia" w:ascii="仿宋" w:hAnsi="仿宋" w:eastAsia="仿宋" w:cs="仿宋"/>
          <w:b/>
          <w:bCs w:val="0"/>
          <w:color w:val="auto"/>
          <w:sz w:val="30"/>
          <w:szCs w:val="30"/>
          <w:u w:val="none"/>
          <w:lang w:val="en-US" w:eastAsia="zh-CN"/>
        </w:rPr>
      </w:pPr>
      <w:r>
        <w:rPr>
          <w:rFonts w:hint="eastAsia" w:ascii="仿宋" w:hAnsi="仿宋" w:eastAsia="仿宋" w:cs="仿宋"/>
          <w:b w:val="0"/>
          <w:bCs/>
          <w:color w:val="auto"/>
          <w:sz w:val="30"/>
          <w:szCs w:val="30"/>
          <w:u w:val="none"/>
          <w:lang w:val="en-US" w:eastAsia="zh-CN"/>
        </w:rPr>
        <w:t>回思明区升初中网上信息登记的开放时间为5月17日至5月23日，开放期间可登录i厦门首页 → i教育点击进入，进行回思明区升初中的网上信息登记，同时也可在i教育 → 回思明区升初中的界面中，查看《回思明区升初中信息登记指南》。</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3、网上填写了信息，还需要提交学生个人材料吗？</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回思明区升初中信息登记时录入的所有信息，在现场报名时会导出做为学生的《初招报名表》。此表为学生的个人档案，将永久保存。因此请完整准确录入信息登记页面中的所有栏目！</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现场报名时，要提交《须知》中规定的所有材料。</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4、家长怎样确认是否完成信息登记？</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完成学生信息录入后，点击确认提交，完成回思明区升初中信息登记成功后，注册电话会收到提交成功的确认短信，界面也会显示登记成功。</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5、提交报名后发现信息填错了，怎么办？</w:t>
      </w:r>
    </w:p>
    <w:p>
      <w:pPr>
        <w:ind w:firstLine="420" w:firstLineChars="0"/>
        <w:jc w:val="left"/>
        <w:rPr>
          <w:rFonts w:hint="eastAsia" w:ascii="仿宋" w:hAnsi="仿宋" w:eastAsia="仿宋" w:cs="仿宋"/>
          <w:b w:val="0"/>
          <w:bCs/>
          <w:color w:val="auto"/>
          <w:sz w:val="30"/>
          <w:szCs w:val="30"/>
          <w:highlight w:val="yellow"/>
          <w:u w:val="none"/>
          <w:lang w:val="en-US" w:eastAsia="zh-CN"/>
        </w:rPr>
      </w:pPr>
      <w:r>
        <w:rPr>
          <w:rFonts w:hint="eastAsia" w:ascii="仿宋" w:hAnsi="仿宋" w:eastAsia="仿宋" w:cs="仿宋"/>
          <w:b w:val="0"/>
          <w:bCs/>
          <w:color w:val="auto"/>
          <w:sz w:val="30"/>
          <w:szCs w:val="30"/>
          <w:u w:val="none"/>
          <w:lang w:val="en-US" w:eastAsia="zh-CN"/>
        </w:rPr>
        <w:t>若登记成功后，发现学生信息录入有误，需要修改的，可以点修改登记信息，重新确认提交。</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6、家长在网上登记成功之后还需要做什么？</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按界面通知耐心等待，5月24日前，各报名点会电话通知家长现场报名的具体时间和地点，请务必注意接听。若5月24日还没接到通知的家长，请于5月25日与区招考中心联系，电话2684510。</w:t>
      </w:r>
    </w:p>
    <w:sectPr>
      <w:headerReference r:id="rId3" w:type="default"/>
      <w:footerReference r:id="rId4" w:type="default"/>
      <w:pgSz w:w="11906" w:h="16838"/>
      <w:pgMar w:top="1270" w:right="1293" w:bottom="127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A303A1"/>
    <w:multiLevelType w:val="singleLevel"/>
    <w:tmpl w:val="C0A303A1"/>
    <w:lvl w:ilvl="0" w:tentative="0">
      <w:start w:val="1"/>
      <w:numFmt w:val="bullet"/>
      <w:lvlText w:val=""/>
      <w:lvlJc w:val="left"/>
      <w:pPr>
        <w:ind w:left="420" w:hanging="420"/>
      </w:pPr>
      <w:rPr>
        <w:rFonts w:hint="default" w:ascii="Wingdings" w:hAnsi="Wingdings"/>
      </w:rPr>
    </w:lvl>
  </w:abstractNum>
  <w:abstractNum w:abstractNumId="1">
    <w:nsid w:val="5240B731"/>
    <w:multiLevelType w:val="singleLevel"/>
    <w:tmpl w:val="5240B731"/>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3MjYzYjQ3OGI5OTYyOTk1NDJhZjFjNDA1MWI2ZGMifQ=="/>
  </w:docVars>
  <w:rsids>
    <w:rsidRoot w:val="3C715264"/>
    <w:rsid w:val="018422AD"/>
    <w:rsid w:val="06D70D1B"/>
    <w:rsid w:val="073A57B3"/>
    <w:rsid w:val="0AD929AC"/>
    <w:rsid w:val="0F2B41FE"/>
    <w:rsid w:val="12F93D71"/>
    <w:rsid w:val="13DB1252"/>
    <w:rsid w:val="14A73411"/>
    <w:rsid w:val="157236D0"/>
    <w:rsid w:val="16561591"/>
    <w:rsid w:val="17980189"/>
    <w:rsid w:val="188C3638"/>
    <w:rsid w:val="19DA5D85"/>
    <w:rsid w:val="1A165325"/>
    <w:rsid w:val="1A962234"/>
    <w:rsid w:val="1B3A52C4"/>
    <w:rsid w:val="1B9B1CE0"/>
    <w:rsid w:val="20D1302F"/>
    <w:rsid w:val="222B073E"/>
    <w:rsid w:val="2296034D"/>
    <w:rsid w:val="22E60999"/>
    <w:rsid w:val="23BF10E1"/>
    <w:rsid w:val="24564E88"/>
    <w:rsid w:val="2478300C"/>
    <w:rsid w:val="24B24532"/>
    <w:rsid w:val="25C105E9"/>
    <w:rsid w:val="26181C7D"/>
    <w:rsid w:val="297634A0"/>
    <w:rsid w:val="2B323C79"/>
    <w:rsid w:val="2B382FB9"/>
    <w:rsid w:val="2B954791"/>
    <w:rsid w:val="2DAD11E6"/>
    <w:rsid w:val="2ECB55CE"/>
    <w:rsid w:val="2EEA1549"/>
    <w:rsid w:val="30CF221E"/>
    <w:rsid w:val="313D225D"/>
    <w:rsid w:val="33E3538F"/>
    <w:rsid w:val="344243D9"/>
    <w:rsid w:val="34B10132"/>
    <w:rsid w:val="35ED60F7"/>
    <w:rsid w:val="36237D59"/>
    <w:rsid w:val="38687AAD"/>
    <w:rsid w:val="39ED1AFE"/>
    <w:rsid w:val="3AA64705"/>
    <w:rsid w:val="3AD045B8"/>
    <w:rsid w:val="3B1D460B"/>
    <w:rsid w:val="3B29377C"/>
    <w:rsid w:val="3C6C1760"/>
    <w:rsid w:val="3C715264"/>
    <w:rsid w:val="3D3E0FBC"/>
    <w:rsid w:val="3E014F01"/>
    <w:rsid w:val="3EDD2A1E"/>
    <w:rsid w:val="3FEE5EBD"/>
    <w:rsid w:val="41DC0324"/>
    <w:rsid w:val="43260C5F"/>
    <w:rsid w:val="450B3AAB"/>
    <w:rsid w:val="45585D8D"/>
    <w:rsid w:val="475C5972"/>
    <w:rsid w:val="47A75F60"/>
    <w:rsid w:val="48772CD0"/>
    <w:rsid w:val="4A4E21EC"/>
    <w:rsid w:val="4CB22ACD"/>
    <w:rsid w:val="4E416696"/>
    <w:rsid w:val="4E843279"/>
    <w:rsid w:val="4F710F02"/>
    <w:rsid w:val="50B205E0"/>
    <w:rsid w:val="518F6915"/>
    <w:rsid w:val="54D141A4"/>
    <w:rsid w:val="57641866"/>
    <w:rsid w:val="57A20328"/>
    <w:rsid w:val="57CF1D4C"/>
    <w:rsid w:val="57EC2D86"/>
    <w:rsid w:val="59DB5624"/>
    <w:rsid w:val="5B0F3938"/>
    <w:rsid w:val="5B1026A9"/>
    <w:rsid w:val="5B734208"/>
    <w:rsid w:val="5C146A9F"/>
    <w:rsid w:val="5EE9143B"/>
    <w:rsid w:val="5F3F7825"/>
    <w:rsid w:val="604D630C"/>
    <w:rsid w:val="60751281"/>
    <w:rsid w:val="62135DFE"/>
    <w:rsid w:val="645029F7"/>
    <w:rsid w:val="64D04619"/>
    <w:rsid w:val="657A12C0"/>
    <w:rsid w:val="658A404B"/>
    <w:rsid w:val="660A2ADD"/>
    <w:rsid w:val="66404C0E"/>
    <w:rsid w:val="66870900"/>
    <w:rsid w:val="671A4C35"/>
    <w:rsid w:val="682D3300"/>
    <w:rsid w:val="68B07889"/>
    <w:rsid w:val="6913219C"/>
    <w:rsid w:val="6A584486"/>
    <w:rsid w:val="6A991B88"/>
    <w:rsid w:val="6AF171B3"/>
    <w:rsid w:val="6B8B3873"/>
    <w:rsid w:val="6C0071B5"/>
    <w:rsid w:val="6CDB20D4"/>
    <w:rsid w:val="6ECA237B"/>
    <w:rsid w:val="6F794C0A"/>
    <w:rsid w:val="704D5056"/>
    <w:rsid w:val="71872047"/>
    <w:rsid w:val="71EE6B4A"/>
    <w:rsid w:val="723228E4"/>
    <w:rsid w:val="725573C4"/>
    <w:rsid w:val="72B401CB"/>
    <w:rsid w:val="72D60A57"/>
    <w:rsid w:val="72DE0488"/>
    <w:rsid w:val="74C70426"/>
    <w:rsid w:val="75282E16"/>
    <w:rsid w:val="75484790"/>
    <w:rsid w:val="75CF2DF5"/>
    <w:rsid w:val="7682314E"/>
    <w:rsid w:val="76895EC7"/>
    <w:rsid w:val="768A4786"/>
    <w:rsid w:val="771B1E95"/>
    <w:rsid w:val="7756234E"/>
    <w:rsid w:val="77E43E18"/>
    <w:rsid w:val="77F33920"/>
    <w:rsid w:val="791C079E"/>
    <w:rsid w:val="793D3C67"/>
    <w:rsid w:val="7BE85F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 w:type="paragraph" w:customStyle="1"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3715</Company>
  <Pages>6</Pages>
  <Words>1236</Words>
  <Characters>1270</Characters>
  <Lines>0</Lines>
  <Paragraphs>0</Paragraphs>
  <TotalTime>3</TotalTime>
  <ScaleCrop>false</ScaleCrop>
  <LinksUpToDate>false</LinksUpToDate>
  <CharactersWithSpaces>1274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2018-03-26T09:33:00Z</dcterms:created>
  <dc:creator>qzuser</dc:creator>
  <cp:lastModifiedBy>user</cp:lastModifiedBy>
  <dcterms:modified xsi:type="dcterms:W3CDTF">2022-05-01T01:11:05Z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A6D0D31F0BD14C0E82A709EC0BB4C082</vt:lpwstr>
  </property>
</Properties>
</file>