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afterLines="50" w:line="540" w:lineRule="atLeast"/>
        <w:jc w:val="center"/>
        <w:rPr>
          <w:rFonts w:ascii="方正小标宋简体" w:hAnsi="方正小标宋简体" w:eastAsia="方正小标宋简体" w:cs="方正小标宋简体"/>
          <w:color w:val="333333"/>
          <w:sz w:val="44"/>
          <w:szCs w:val="44"/>
        </w:rPr>
      </w:pPr>
      <w:r>
        <w:rPr>
          <w:rFonts w:ascii="方正小标宋简体" w:hAnsi="方正小标宋简体" w:eastAsia="方正小标宋简体" w:cs="方正小标宋简体"/>
          <w:color w:val="333333"/>
          <w:sz w:val="44"/>
          <w:szCs w:val="44"/>
        </w:rPr>
        <w:t>2021</w:t>
      </w:r>
      <w:r>
        <w:rPr>
          <w:rFonts w:hint="eastAsia" w:ascii="方正小标宋简体" w:hAnsi="方正小标宋简体" w:eastAsia="方正小标宋简体" w:cs="方正小标宋简体"/>
          <w:color w:val="333333"/>
          <w:sz w:val="44"/>
          <w:szCs w:val="44"/>
        </w:rPr>
        <w:t>年思明区政务公开工作主要任务分解表</w:t>
      </w:r>
    </w:p>
    <w:p>
      <w:pPr>
        <w:spacing w:line="240" w:lineRule="exact"/>
        <w:jc w:val="center"/>
        <w:rPr>
          <w:rFonts w:ascii="楷体_GB2312" w:hAnsi="楷体_GB2312" w:eastAsia="楷体_GB2312" w:cs="楷体_GB2312"/>
          <w:sz w:val="32"/>
          <w:szCs w:val="32"/>
        </w:rPr>
      </w:pPr>
    </w:p>
    <w:tbl>
      <w:tblPr>
        <w:tblStyle w:val="4"/>
        <w:tblW w:w="11749" w:type="dxa"/>
        <w:jc w:val="center"/>
        <w:tblInd w:w="-153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3636"/>
        <w:gridCol w:w="3956"/>
        <w:gridCol w:w="1656"/>
        <w:gridCol w:w="250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cantSplit/>
          <w:trHeight w:val="452" w:hRule="atLeast"/>
          <w:tblHeader/>
          <w:jc w:val="center"/>
        </w:trPr>
        <w:tc>
          <w:tcPr>
            <w:tcW w:w="3636" w:type="dxa"/>
            <w:tcBorders>
              <w:top w:val="single" w:color="000000" w:sz="8" w:space="0"/>
              <w:left w:val="single" w:color="000000" w:sz="8" w:space="0"/>
              <w:bottom w:val="single" w:color="000000" w:sz="8" w:space="0"/>
              <w:right w:val="single" w:color="000000" w:sz="8" w:space="0"/>
            </w:tcBorders>
            <w:shd w:val="clear" w:color="auto" w:fill="FFFFFF"/>
            <w:tcMar>
              <w:left w:w="108" w:type="dxa"/>
              <w:right w:w="108" w:type="dxa"/>
            </w:tcMar>
            <w:vAlign w:val="center"/>
          </w:tcPr>
          <w:p>
            <w:pPr>
              <w:widowControl/>
              <w:jc w:val="center"/>
              <w:textAlignment w:val="center"/>
              <w:rPr>
                <w:rFonts w:ascii="宋体" w:hAnsi="Times New Roman" w:eastAsia="Times New Roman" w:cs="宋体"/>
                <w:color w:val="333333"/>
                <w:sz w:val="20"/>
                <w:szCs w:val="20"/>
              </w:rPr>
            </w:pPr>
            <w:r>
              <w:rPr>
                <w:rFonts w:hint="eastAsia" w:ascii="宋体" w:cs="宋体"/>
                <w:b/>
                <w:bCs/>
                <w:color w:val="333333"/>
                <w:sz w:val="20"/>
                <w:szCs w:val="20"/>
              </w:rPr>
              <w:t>工作任务</w:t>
            </w:r>
          </w:p>
        </w:tc>
        <w:tc>
          <w:tcPr>
            <w:tcW w:w="3956" w:type="dxa"/>
            <w:tcBorders>
              <w:top w:val="single" w:color="000000" w:sz="8" w:space="0"/>
              <w:left w:val="nil"/>
              <w:bottom w:val="single" w:color="000000" w:sz="8" w:space="0"/>
              <w:right w:val="single" w:color="000000" w:sz="8" w:space="0"/>
            </w:tcBorders>
            <w:shd w:val="clear" w:color="auto" w:fill="FFFFFF"/>
            <w:tcMar>
              <w:left w:w="108" w:type="dxa"/>
              <w:right w:w="108" w:type="dxa"/>
            </w:tcMar>
            <w:vAlign w:val="center"/>
          </w:tcPr>
          <w:p>
            <w:pPr>
              <w:widowControl/>
              <w:jc w:val="center"/>
              <w:textAlignment w:val="center"/>
              <w:rPr>
                <w:rFonts w:ascii="宋体" w:hAnsi="Times New Roman" w:eastAsia="Times New Roman" w:cs="宋体"/>
                <w:color w:val="333333"/>
                <w:sz w:val="20"/>
                <w:szCs w:val="20"/>
              </w:rPr>
            </w:pPr>
            <w:r>
              <w:rPr>
                <w:rFonts w:hint="eastAsia" w:ascii="宋体" w:cs="宋体"/>
                <w:b/>
                <w:bCs/>
                <w:color w:val="333333"/>
                <w:sz w:val="20"/>
                <w:szCs w:val="20"/>
              </w:rPr>
              <w:t>工作要求</w:t>
            </w:r>
          </w:p>
        </w:tc>
        <w:tc>
          <w:tcPr>
            <w:tcW w:w="1656" w:type="dxa"/>
            <w:tcBorders>
              <w:top w:val="single" w:color="000000" w:sz="8" w:space="0"/>
              <w:left w:val="nil"/>
              <w:bottom w:val="single" w:color="000000" w:sz="8" w:space="0"/>
              <w:right w:val="single" w:color="000000" w:sz="8" w:space="0"/>
            </w:tcBorders>
            <w:shd w:val="clear" w:color="auto" w:fill="FFFFFF"/>
            <w:tcMar>
              <w:left w:w="108" w:type="dxa"/>
              <w:right w:w="108" w:type="dxa"/>
            </w:tcMar>
            <w:vAlign w:val="center"/>
          </w:tcPr>
          <w:p>
            <w:pPr>
              <w:widowControl/>
              <w:jc w:val="center"/>
              <w:textAlignment w:val="center"/>
              <w:rPr>
                <w:rFonts w:ascii="宋体" w:hAnsi="Times New Roman" w:eastAsia="Times New Roman" w:cs="宋体"/>
                <w:color w:val="333333"/>
                <w:sz w:val="20"/>
                <w:szCs w:val="20"/>
              </w:rPr>
            </w:pPr>
            <w:r>
              <w:rPr>
                <w:rFonts w:hint="eastAsia" w:ascii="宋体" w:cs="宋体"/>
                <w:b/>
                <w:bCs/>
                <w:color w:val="333333"/>
                <w:sz w:val="20"/>
                <w:szCs w:val="20"/>
              </w:rPr>
              <w:t>牵头单位</w:t>
            </w:r>
          </w:p>
        </w:tc>
        <w:tc>
          <w:tcPr>
            <w:tcW w:w="2501" w:type="dxa"/>
            <w:tcBorders>
              <w:top w:val="single" w:color="000000" w:sz="8" w:space="0"/>
              <w:left w:val="nil"/>
              <w:bottom w:val="single" w:color="000000" w:sz="8" w:space="0"/>
              <w:right w:val="single" w:color="000000" w:sz="8" w:space="0"/>
            </w:tcBorders>
            <w:shd w:val="clear" w:color="auto" w:fill="FFFFFF"/>
            <w:tcMar>
              <w:left w:w="108" w:type="dxa"/>
              <w:right w:w="108" w:type="dxa"/>
            </w:tcMar>
            <w:vAlign w:val="center"/>
          </w:tcPr>
          <w:p>
            <w:pPr>
              <w:widowControl/>
              <w:jc w:val="center"/>
              <w:textAlignment w:val="center"/>
              <w:rPr>
                <w:rFonts w:ascii="宋体" w:hAnsi="Times New Roman" w:eastAsia="Times New Roman" w:cs="宋体"/>
                <w:color w:val="333333"/>
                <w:sz w:val="20"/>
                <w:szCs w:val="20"/>
              </w:rPr>
            </w:pPr>
            <w:r>
              <w:rPr>
                <w:rFonts w:hint="eastAsia" w:ascii="宋体" w:cs="宋体"/>
                <w:b/>
                <w:bCs/>
                <w:color w:val="333333"/>
                <w:sz w:val="20"/>
                <w:szCs w:val="20"/>
              </w:rPr>
              <w:t>责任单位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cantSplit/>
          <w:trHeight w:val="567" w:hRule="atLeast"/>
          <w:jc w:val="center"/>
        </w:trPr>
        <w:tc>
          <w:tcPr>
            <w:tcW w:w="11749" w:type="dxa"/>
            <w:gridSpan w:val="4"/>
            <w:tcBorders>
              <w:top w:val="nil"/>
              <w:left w:val="single" w:color="000000" w:sz="8" w:space="0"/>
              <w:bottom w:val="single" w:color="000000" w:sz="8" w:space="0"/>
              <w:right w:val="single" w:color="000000" w:sz="8" w:space="0"/>
            </w:tcBorders>
            <w:shd w:val="clear" w:color="auto" w:fill="FFFFFF"/>
            <w:tcMar>
              <w:left w:w="108" w:type="dxa"/>
              <w:right w:w="108" w:type="dxa"/>
            </w:tcMar>
            <w:vAlign w:val="center"/>
          </w:tcPr>
          <w:p>
            <w:pPr>
              <w:widowControl/>
              <w:jc w:val="center"/>
              <w:textAlignment w:val="center"/>
              <w:rPr>
                <w:rFonts w:ascii="仿宋_GB2312" w:hAnsi="Times New Roman" w:eastAsia="仿宋_GB2312" w:cs="宋体"/>
                <w:color w:val="333333"/>
                <w:sz w:val="20"/>
                <w:szCs w:val="20"/>
              </w:rPr>
            </w:pPr>
            <w:r>
              <w:rPr>
                <w:rFonts w:hint="eastAsia" w:ascii="仿宋_GB2312" w:hAnsi="Times New Roman" w:eastAsia="仿宋_GB2312" w:cs="宋体"/>
                <w:b/>
                <w:bCs/>
                <w:color w:val="333333"/>
                <w:sz w:val="20"/>
                <w:szCs w:val="20"/>
              </w:rPr>
              <w:t>一、紧扣“十四五”开好局起好步，进一步深化政务公开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cantSplit/>
          <w:trHeight w:val="567" w:hRule="atLeast"/>
          <w:jc w:val="center"/>
        </w:trPr>
        <w:tc>
          <w:tcPr>
            <w:tcW w:w="11749" w:type="dxa"/>
            <w:gridSpan w:val="4"/>
            <w:tcBorders>
              <w:top w:val="nil"/>
              <w:left w:val="single" w:color="000000" w:sz="8" w:space="0"/>
              <w:bottom w:val="single" w:color="000000" w:sz="8" w:space="0"/>
              <w:right w:val="single" w:color="000000" w:sz="8" w:space="0"/>
            </w:tcBorders>
            <w:shd w:val="clear" w:color="auto" w:fill="FFFFFF"/>
            <w:tcMar>
              <w:left w:w="108" w:type="dxa"/>
              <w:right w:w="108" w:type="dxa"/>
            </w:tcMar>
            <w:vAlign w:val="center"/>
          </w:tcPr>
          <w:p>
            <w:pPr>
              <w:widowControl/>
              <w:textAlignment w:val="center"/>
              <w:rPr>
                <w:rFonts w:ascii="仿宋_GB2312" w:hAnsi="Times New Roman" w:eastAsia="仿宋_GB2312" w:cs="宋体"/>
                <w:color w:val="333333"/>
                <w:sz w:val="20"/>
                <w:szCs w:val="20"/>
              </w:rPr>
            </w:pPr>
            <w:r>
              <w:rPr>
                <w:rFonts w:hint="eastAsia" w:ascii="仿宋_GB2312" w:hAnsi="Times New Roman" w:eastAsia="仿宋_GB2312" w:cs="宋体"/>
                <w:color w:val="333333"/>
                <w:sz w:val="20"/>
                <w:szCs w:val="20"/>
              </w:rPr>
              <w:t>（一）做好各类规划主动公开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cantSplit/>
          <w:trHeight w:val="3238" w:hRule="atLeast"/>
          <w:jc w:val="center"/>
        </w:trPr>
        <w:tc>
          <w:tcPr>
            <w:tcW w:w="3636" w:type="dxa"/>
            <w:tcBorders>
              <w:top w:val="nil"/>
              <w:left w:val="single" w:color="000000" w:sz="8" w:space="0"/>
              <w:bottom w:val="single" w:color="000000" w:sz="8" w:space="0"/>
              <w:right w:val="single" w:color="000000" w:sz="8" w:space="0"/>
            </w:tcBorders>
            <w:shd w:val="clear" w:color="auto" w:fill="FFFFFF"/>
            <w:tcMar>
              <w:left w:w="108" w:type="dxa"/>
              <w:right w:w="108" w:type="dxa"/>
            </w:tcMar>
            <w:vAlign w:val="center"/>
          </w:tcPr>
          <w:p>
            <w:pPr>
              <w:widowControl/>
              <w:textAlignment w:val="center"/>
              <w:rPr>
                <w:rFonts w:ascii="仿宋_GB2312" w:hAnsi="Times New Roman" w:eastAsia="仿宋_GB2312" w:cs="宋体"/>
                <w:color w:val="333333"/>
                <w:sz w:val="20"/>
                <w:szCs w:val="20"/>
              </w:rPr>
            </w:pPr>
            <w:r>
              <w:rPr>
                <w:rFonts w:ascii="仿宋_GB2312" w:hAnsi="Times New Roman" w:eastAsia="仿宋_GB2312" w:cs="宋体"/>
                <w:color w:val="333333"/>
                <w:sz w:val="20"/>
                <w:szCs w:val="20"/>
              </w:rPr>
              <w:t>1.</w:t>
            </w:r>
            <w:r>
              <w:rPr>
                <w:rFonts w:hint="eastAsia" w:ascii="仿宋_GB2312" w:hAnsi="Times New Roman" w:eastAsia="仿宋_GB2312" w:cs="宋体"/>
                <w:color w:val="333333"/>
                <w:sz w:val="20"/>
                <w:szCs w:val="20"/>
              </w:rPr>
              <w:t>主动公开“十四五”规划纲要、国土空间规划、专项规划和区域规划等。</w:t>
            </w:r>
          </w:p>
        </w:tc>
        <w:tc>
          <w:tcPr>
            <w:tcW w:w="3956" w:type="dxa"/>
            <w:tcBorders>
              <w:top w:val="single" w:color="000000" w:sz="8" w:space="0"/>
              <w:left w:val="nil"/>
              <w:bottom w:val="single" w:color="000000" w:sz="8" w:space="0"/>
              <w:right w:val="single" w:color="000000" w:sz="8" w:space="0"/>
            </w:tcBorders>
            <w:shd w:val="clear" w:color="auto" w:fill="FFFFFF"/>
            <w:tcMar>
              <w:left w:w="108" w:type="dxa"/>
              <w:right w:w="108" w:type="dxa"/>
            </w:tcMar>
            <w:vAlign w:val="center"/>
          </w:tcPr>
          <w:p>
            <w:pPr>
              <w:widowControl/>
              <w:textAlignment w:val="center"/>
              <w:rPr>
                <w:rFonts w:ascii="仿宋_GB2312" w:hAnsi="Times New Roman" w:eastAsia="仿宋_GB2312" w:cs="宋体"/>
                <w:color w:val="333333"/>
                <w:sz w:val="20"/>
                <w:szCs w:val="20"/>
              </w:rPr>
            </w:pPr>
            <w:r>
              <w:rPr>
                <w:rFonts w:hint="eastAsia" w:ascii="仿宋_GB2312" w:hAnsi="Times New Roman" w:eastAsia="仿宋_GB2312" w:cs="宋体"/>
                <w:color w:val="333333"/>
                <w:sz w:val="20"/>
                <w:szCs w:val="20"/>
              </w:rPr>
              <w:t>除法律法规另有规定或内容涉密外，“十四五”发展规划和专项规划、空间规划、区域规划一经批准，及时通过政府门户网站设立专题，并在政府信息公开专栏集中展示，更好地引导全社会关心、支持、监督规划实施。</w:t>
            </w:r>
          </w:p>
        </w:tc>
        <w:tc>
          <w:tcPr>
            <w:tcW w:w="1656" w:type="dxa"/>
            <w:tcBorders>
              <w:top w:val="single" w:color="000000" w:sz="8" w:space="0"/>
              <w:left w:val="nil"/>
              <w:bottom w:val="single" w:color="000000" w:sz="8" w:space="0"/>
              <w:right w:val="single" w:color="000000" w:sz="8" w:space="0"/>
            </w:tcBorders>
            <w:shd w:val="clear" w:color="auto" w:fill="FFFFFF"/>
            <w:tcMar>
              <w:left w:w="108" w:type="dxa"/>
              <w:right w:w="108" w:type="dxa"/>
            </w:tcMar>
            <w:vAlign w:val="center"/>
          </w:tcPr>
          <w:p>
            <w:pPr>
              <w:widowControl/>
              <w:jc w:val="center"/>
              <w:rPr>
                <w:rFonts w:ascii="仿宋_GB2312" w:hAnsi="Times New Roman" w:eastAsia="仿宋_GB2312" w:cs="宋体"/>
                <w:color w:val="333333"/>
                <w:sz w:val="20"/>
                <w:szCs w:val="20"/>
              </w:rPr>
            </w:pPr>
            <w:r>
              <w:rPr>
                <w:rFonts w:hint="eastAsia" w:ascii="仿宋_GB2312" w:hAnsi="Times New Roman" w:eastAsia="仿宋_GB2312" w:cs="宋体"/>
                <w:color w:val="333333"/>
                <w:sz w:val="20"/>
                <w:szCs w:val="20"/>
              </w:rPr>
              <w:t>区发改局</w:t>
            </w:r>
          </w:p>
        </w:tc>
        <w:tc>
          <w:tcPr>
            <w:tcW w:w="2501" w:type="dxa"/>
            <w:tcBorders>
              <w:top w:val="single" w:color="000000" w:sz="8" w:space="0"/>
              <w:left w:val="nil"/>
              <w:bottom w:val="single" w:color="000000" w:sz="8" w:space="0"/>
              <w:right w:val="single" w:color="000000" w:sz="8" w:space="0"/>
            </w:tcBorders>
            <w:shd w:val="clear" w:color="auto" w:fill="FFFFFF"/>
            <w:tcMar>
              <w:left w:w="108" w:type="dxa"/>
              <w:right w:w="108" w:type="dxa"/>
            </w:tcMar>
            <w:vAlign w:val="center"/>
          </w:tcPr>
          <w:p>
            <w:pPr>
              <w:widowControl/>
              <w:numPr>
                <w:ilvl w:val="0"/>
                <w:numId w:val="1"/>
              </w:numPr>
              <w:textAlignment w:val="center"/>
              <w:rPr>
                <w:rFonts w:ascii="仿宋_GB2312" w:hAnsi="Times New Roman" w:eastAsia="仿宋_GB2312" w:cs="宋体"/>
                <w:color w:val="333333"/>
                <w:sz w:val="20"/>
                <w:szCs w:val="20"/>
              </w:rPr>
            </w:pPr>
            <w:r>
              <w:rPr>
                <w:rFonts w:hint="eastAsia" w:ascii="仿宋_GB2312" w:hAnsi="Times New Roman" w:eastAsia="仿宋_GB2312" w:cs="宋体"/>
                <w:color w:val="333333"/>
                <w:sz w:val="20"/>
                <w:szCs w:val="20"/>
              </w:rPr>
              <w:t>区政务信息中心负责开设专栏；</w:t>
            </w:r>
          </w:p>
          <w:p>
            <w:pPr>
              <w:widowControl/>
              <w:numPr>
                <w:ilvl w:val="0"/>
                <w:numId w:val="1"/>
              </w:numPr>
              <w:textAlignment w:val="center"/>
              <w:rPr>
                <w:rFonts w:ascii="仿宋_GB2312" w:hAnsi="Times New Roman" w:eastAsia="仿宋_GB2312" w:cs="宋体"/>
                <w:color w:val="333333"/>
                <w:sz w:val="20"/>
                <w:szCs w:val="20"/>
              </w:rPr>
            </w:pPr>
            <w:r>
              <w:rPr>
                <w:rFonts w:hint="eastAsia" w:ascii="仿宋_GB2312" w:hAnsi="Times New Roman" w:eastAsia="仿宋_GB2312" w:cs="宋体"/>
                <w:color w:val="333333"/>
                <w:sz w:val="20"/>
                <w:szCs w:val="20"/>
              </w:rPr>
              <w:t>区科信局、文旅局、教育局、卫健局、民政局、人社局、市政园林局、应急管理局，思明生态环境局，区文发办按要求做好相关规划公开工作。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cantSplit/>
          <w:trHeight w:val="1924" w:hRule="atLeast"/>
          <w:jc w:val="center"/>
        </w:trPr>
        <w:tc>
          <w:tcPr>
            <w:tcW w:w="3636" w:type="dxa"/>
            <w:tcBorders>
              <w:top w:val="nil"/>
              <w:left w:val="single" w:color="000000" w:sz="8" w:space="0"/>
              <w:bottom w:val="single" w:color="000000" w:sz="8" w:space="0"/>
              <w:right w:val="single" w:color="000000" w:sz="8" w:space="0"/>
            </w:tcBorders>
            <w:shd w:val="clear" w:color="auto" w:fill="FFFFFF"/>
            <w:tcMar>
              <w:left w:w="108" w:type="dxa"/>
              <w:right w:w="108" w:type="dxa"/>
            </w:tcMar>
            <w:vAlign w:val="center"/>
          </w:tcPr>
          <w:p>
            <w:pPr>
              <w:widowControl/>
              <w:textAlignment w:val="center"/>
              <w:rPr>
                <w:rFonts w:ascii="仿宋_GB2312" w:hAnsi="Times New Roman" w:eastAsia="仿宋_GB2312" w:cs="宋体"/>
                <w:color w:val="333333"/>
                <w:sz w:val="20"/>
                <w:szCs w:val="20"/>
              </w:rPr>
            </w:pPr>
            <w:r>
              <w:rPr>
                <w:rFonts w:ascii="仿宋_GB2312" w:hAnsi="Times New Roman" w:eastAsia="仿宋_GB2312" w:cs="宋体"/>
                <w:color w:val="333333"/>
                <w:sz w:val="20"/>
                <w:szCs w:val="20"/>
              </w:rPr>
              <w:t>2.</w:t>
            </w:r>
            <w:r>
              <w:rPr>
                <w:rFonts w:hint="eastAsia" w:ascii="仿宋_GB2312" w:hAnsi="Times New Roman" w:eastAsia="仿宋_GB2312" w:cs="宋体"/>
                <w:color w:val="333333"/>
                <w:sz w:val="20"/>
                <w:szCs w:val="20"/>
              </w:rPr>
              <w:t>归集整理和主动公开历史规划（计划）。</w:t>
            </w:r>
          </w:p>
        </w:tc>
        <w:tc>
          <w:tcPr>
            <w:tcW w:w="3956" w:type="dxa"/>
            <w:tcBorders>
              <w:top w:val="nil"/>
              <w:left w:val="nil"/>
              <w:bottom w:val="single" w:color="000000" w:sz="8" w:space="0"/>
              <w:right w:val="single" w:color="000000" w:sz="8" w:space="0"/>
            </w:tcBorders>
            <w:shd w:val="clear" w:color="auto" w:fill="FFFFFF"/>
            <w:tcMar>
              <w:left w:w="108" w:type="dxa"/>
              <w:right w:w="108" w:type="dxa"/>
            </w:tcMar>
            <w:vAlign w:val="center"/>
          </w:tcPr>
          <w:p>
            <w:pPr>
              <w:widowControl/>
              <w:textAlignment w:val="center"/>
              <w:rPr>
                <w:rFonts w:ascii="仿宋_GB2312" w:hAnsi="Times New Roman" w:eastAsia="仿宋_GB2312" w:cs="宋体"/>
                <w:color w:val="333333"/>
                <w:sz w:val="20"/>
                <w:szCs w:val="20"/>
              </w:rPr>
            </w:pPr>
            <w:r>
              <w:rPr>
                <w:rFonts w:hint="eastAsia" w:ascii="仿宋_GB2312" w:hAnsi="Times New Roman" w:eastAsia="仿宋_GB2312" w:cs="宋体"/>
                <w:color w:val="333333"/>
                <w:sz w:val="20"/>
                <w:szCs w:val="20"/>
              </w:rPr>
              <w:t>做好历史规划的归集整理，并通过政府门户网站政府信息公开专栏集中发布。</w:t>
            </w:r>
          </w:p>
        </w:tc>
        <w:tc>
          <w:tcPr>
            <w:tcW w:w="1656" w:type="dxa"/>
            <w:tcBorders>
              <w:top w:val="nil"/>
              <w:left w:val="nil"/>
              <w:bottom w:val="single" w:color="000000" w:sz="8" w:space="0"/>
              <w:right w:val="single" w:color="000000" w:sz="8" w:space="0"/>
            </w:tcBorders>
            <w:shd w:val="clear" w:color="auto" w:fill="FFFFFF"/>
            <w:tcMar>
              <w:left w:w="108" w:type="dxa"/>
              <w:right w:w="108" w:type="dxa"/>
            </w:tcMar>
            <w:vAlign w:val="center"/>
          </w:tcPr>
          <w:p>
            <w:pPr>
              <w:widowControl/>
              <w:jc w:val="center"/>
              <w:rPr>
                <w:rFonts w:ascii="仿宋_GB2312" w:hAnsi="Times New Roman" w:eastAsia="仿宋_GB2312" w:cs="宋体"/>
                <w:color w:val="333333"/>
                <w:sz w:val="20"/>
                <w:szCs w:val="20"/>
              </w:rPr>
            </w:pPr>
            <w:r>
              <w:rPr>
                <w:rFonts w:hint="eastAsia" w:ascii="仿宋_GB2312" w:hAnsi="Times New Roman" w:eastAsia="仿宋_GB2312" w:cs="宋体"/>
                <w:color w:val="333333"/>
                <w:sz w:val="20"/>
                <w:szCs w:val="20"/>
              </w:rPr>
              <w:t>区发改局</w:t>
            </w:r>
          </w:p>
          <w:p>
            <w:pPr>
              <w:widowControl/>
              <w:jc w:val="center"/>
              <w:rPr>
                <w:rFonts w:ascii="仿宋_GB2312" w:hAnsi="Times New Roman" w:eastAsia="仿宋_GB2312" w:cs="宋体"/>
                <w:color w:val="333333"/>
                <w:sz w:val="20"/>
                <w:szCs w:val="20"/>
              </w:rPr>
            </w:pPr>
            <w:r>
              <w:rPr>
                <w:rFonts w:hint="eastAsia" w:ascii="仿宋_GB2312" w:hAnsi="Times New Roman" w:eastAsia="仿宋_GB2312" w:cs="宋体"/>
                <w:color w:val="333333"/>
                <w:sz w:val="20"/>
                <w:szCs w:val="20"/>
              </w:rPr>
              <w:t>区政务信息中心</w:t>
            </w:r>
          </w:p>
        </w:tc>
        <w:tc>
          <w:tcPr>
            <w:tcW w:w="2501" w:type="dxa"/>
            <w:tcBorders>
              <w:top w:val="nil"/>
              <w:left w:val="nil"/>
              <w:bottom w:val="single" w:color="000000" w:sz="8" w:space="0"/>
              <w:right w:val="single" w:color="000000" w:sz="8" w:space="0"/>
            </w:tcBorders>
            <w:shd w:val="clear" w:color="auto" w:fill="FFFFFF"/>
            <w:tcMar>
              <w:left w:w="108" w:type="dxa"/>
              <w:right w:w="108" w:type="dxa"/>
            </w:tcMar>
            <w:vAlign w:val="center"/>
          </w:tcPr>
          <w:p>
            <w:pPr>
              <w:widowControl/>
              <w:numPr>
                <w:ilvl w:val="0"/>
                <w:numId w:val="2"/>
              </w:numPr>
              <w:spacing w:line="320" w:lineRule="atLeast"/>
              <w:textAlignment w:val="center"/>
              <w:rPr>
                <w:rFonts w:ascii="仿宋_GB2312" w:hAnsi="Times New Roman" w:eastAsia="仿宋_GB2312" w:cs="宋体"/>
                <w:color w:val="333333"/>
                <w:sz w:val="20"/>
                <w:szCs w:val="20"/>
              </w:rPr>
            </w:pPr>
            <w:r>
              <w:rPr>
                <w:rFonts w:hint="eastAsia" w:ascii="仿宋_GB2312" w:hAnsi="Times New Roman" w:eastAsia="仿宋_GB2312" w:cs="宋体"/>
                <w:color w:val="333333"/>
                <w:sz w:val="20"/>
                <w:szCs w:val="20"/>
              </w:rPr>
              <w:t>区发改局将历史规划及规划相关的清单发区政务信息中心；</w:t>
            </w:r>
          </w:p>
          <w:p>
            <w:pPr>
              <w:widowControl/>
              <w:numPr>
                <w:ilvl w:val="0"/>
                <w:numId w:val="2"/>
              </w:numPr>
              <w:spacing w:line="320" w:lineRule="atLeast"/>
              <w:textAlignment w:val="center"/>
              <w:rPr>
                <w:rFonts w:ascii="仿宋_GB2312" w:hAnsi="Times New Roman" w:eastAsia="仿宋_GB2312" w:cs="宋体"/>
                <w:color w:val="333333"/>
                <w:sz w:val="20"/>
                <w:szCs w:val="20"/>
              </w:rPr>
            </w:pPr>
            <w:r>
              <w:rPr>
                <w:rFonts w:hint="eastAsia" w:ascii="仿宋_GB2312" w:hAnsi="Times New Roman" w:eastAsia="仿宋_GB2312" w:cs="宋体"/>
                <w:color w:val="333333"/>
                <w:sz w:val="20"/>
                <w:szCs w:val="20"/>
              </w:rPr>
              <w:t>区政务信息中心设置公开专栏，做好发布工作。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cantSplit/>
          <w:trHeight w:val="1768" w:hRule="atLeast"/>
          <w:jc w:val="center"/>
        </w:trPr>
        <w:tc>
          <w:tcPr>
            <w:tcW w:w="3636" w:type="dxa"/>
            <w:tcBorders>
              <w:top w:val="nil"/>
              <w:left w:val="single" w:color="000000" w:sz="8" w:space="0"/>
              <w:bottom w:val="single" w:color="000000" w:sz="8" w:space="0"/>
              <w:right w:val="single" w:color="000000" w:sz="8" w:space="0"/>
            </w:tcBorders>
            <w:shd w:val="clear" w:color="auto" w:fill="FFFFFF"/>
            <w:tcMar>
              <w:left w:w="108" w:type="dxa"/>
              <w:right w:w="108" w:type="dxa"/>
            </w:tcMar>
            <w:vAlign w:val="center"/>
          </w:tcPr>
          <w:p>
            <w:pPr>
              <w:widowControl/>
              <w:textAlignment w:val="center"/>
              <w:rPr>
                <w:rFonts w:ascii="仿宋_GB2312" w:hAnsi="Times New Roman" w:eastAsia="仿宋_GB2312" w:cs="宋体"/>
                <w:color w:val="333333"/>
                <w:sz w:val="20"/>
                <w:szCs w:val="20"/>
              </w:rPr>
            </w:pPr>
            <w:r>
              <w:rPr>
                <w:rFonts w:ascii="仿宋_GB2312" w:hAnsi="Times New Roman" w:eastAsia="仿宋_GB2312" w:cs="宋体"/>
                <w:color w:val="333333"/>
                <w:sz w:val="20"/>
                <w:szCs w:val="20"/>
              </w:rPr>
              <w:t>3.</w:t>
            </w:r>
            <w:r>
              <w:rPr>
                <w:rFonts w:hint="eastAsia" w:ascii="仿宋_GB2312" w:hAnsi="Times New Roman" w:eastAsia="仿宋_GB2312" w:cs="宋体"/>
                <w:color w:val="333333"/>
                <w:sz w:val="20"/>
                <w:szCs w:val="20"/>
              </w:rPr>
              <w:t>做好规划信息数据互联互通。</w:t>
            </w:r>
          </w:p>
        </w:tc>
        <w:tc>
          <w:tcPr>
            <w:tcW w:w="3956" w:type="dxa"/>
            <w:tcBorders>
              <w:top w:val="nil"/>
              <w:left w:val="nil"/>
              <w:bottom w:val="single" w:color="000000" w:sz="8" w:space="0"/>
              <w:right w:val="single" w:color="000000" w:sz="8" w:space="0"/>
            </w:tcBorders>
            <w:shd w:val="clear" w:color="auto" w:fill="FFFFFF"/>
            <w:tcMar>
              <w:left w:w="108" w:type="dxa"/>
              <w:right w:w="108" w:type="dxa"/>
            </w:tcMar>
            <w:vAlign w:val="center"/>
          </w:tcPr>
          <w:p>
            <w:pPr>
              <w:widowControl/>
              <w:textAlignment w:val="center"/>
              <w:rPr>
                <w:rFonts w:ascii="仿宋_GB2312" w:hAnsi="Times New Roman" w:eastAsia="仿宋_GB2312" w:cs="宋体"/>
                <w:color w:val="333333"/>
                <w:sz w:val="20"/>
                <w:szCs w:val="20"/>
              </w:rPr>
            </w:pPr>
            <w:r>
              <w:rPr>
                <w:rFonts w:hint="eastAsia" w:ascii="仿宋_GB2312" w:hAnsi="Times New Roman" w:eastAsia="仿宋_GB2312" w:cs="宋体"/>
                <w:color w:val="333333"/>
                <w:sz w:val="20"/>
                <w:szCs w:val="20"/>
              </w:rPr>
              <w:t>市、区政府网站以适当方式归集整理基层政府主动公开的规划，及时全面展示定位准确、边界清晰、功能互补、衔接统一的全区规划体系。</w:t>
            </w:r>
          </w:p>
        </w:tc>
        <w:tc>
          <w:tcPr>
            <w:tcW w:w="1656" w:type="dxa"/>
            <w:tcBorders>
              <w:top w:val="nil"/>
              <w:left w:val="nil"/>
              <w:bottom w:val="single" w:color="000000" w:sz="8" w:space="0"/>
              <w:right w:val="single" w:color="000000" w:sz="8" w:space="0"/>
            </w:tcBorders>
            <w:shd w:val="clear" w:color="auto" w:fill="FFFFFF"/>
            <w:tcMar>
              <w:left w:w="108" w:type="dxa"/>
              <w:right w:w="108" w:type="dxa"/>
            </w:tcMar>
            <w:vAlign w:val="center"/>
          </w:tcPr>
          <w:p>
            <w:pPr>
              <w:widowControl/>
              <w:jc w:val="center"/>
              <w:rPr>
                <w:rFonts w:ascii="仿宋_GB2312" w:hAnsi="Times New Roman" w:eastAsia="仿宋_GB2312" w:cs="宋体"/>
                <w:color w:val="333333"/>
                <w:sz w:val="20"/>
                <w:szCs w:val="20"/>
              </w:rPr>
            </w:pPr>
            <w:r>
              <w:rPr>
                <w:rFonts w:hint="eastAsia" w:ascii="仿宋_GB2312" w:hAnsi="Times New Roman" w:eastAsia="仿宋_GB2312" w:cs="宋体"/>
                <w:color w:val="333333"/>
                <w:sz w:val="20"/>
                <w:szCs w:val="20"/>
              </w:rPr>
              <w:t>区级规划编制牵头部门</w:t>
            </w:r>
          </w:p>
        </w:tc>
        <w:tc>
          <w:tcPr>
            <w:tcW w:w="2501" w:type="dxa"/>
            <w:tcBorders>
              <w:top w:val="nil"/>
              <w:left w:val="nil"/>
              <w:bottom w:val="single" w:color="000000" w:sz="8" w:space="0"/>
              <w:right w:val="single" w:color="000000" w:sz="8" w:space="0"/>
            </w:tcBorders>
            <w:shd w:val="clear" w:color="auto" w:fill="FFFFFF"/>
            <w:tcMar>
              <w:left w:w="108" w:type="dxa"/>
              <w:right w:w="108" w:type="dxa"/>
            </w:tcMar>
            <w:vAlign w:val="center"/>
          </w:tcPr>
          <w:p>
            <w:pPr>
              <w:widowControl/>
              <w:spacing w:line="320" w:lineRule="atLeast"/>
              <w:textAlignment w:val="center"/>
              <w:rPr>
                <w:rFonts w:ascii="仿宋_GB2312" w:hAnsi="Times New Roman" w:eastAsia="仿宋_GB2312" w:cs="宋体"/>
                <w:color w:val="333333"/>
                <w:sz w:val="20"/>
                <w:szCs w:val="20"/>
              </w:rPr>
            </w:pPr>
            <w:r>
              <w:rPr>
                <w:rFonts w:hint="eastAsia" w:ascii="仿宋_GB2312" w:hAnsi="Times New Roman" w:eastAsia="仿宋_GB2312" w:cs="宋体"/>
                <w:color w:val="333333"/>
                <w:sz w:val="20"/>
                <w:szCs w:val="20"/>
              </w:rPr>
              <w:t>涉及区级规划编制的单位要按要求及时发布规划、计划。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cantSplit/>
          <w:trHeight w:val="567" w:hRule="atLeast"/>
          <w:jc w:val="center"/>
        </w:trPr>
        <w:tc>
          <w:tcPr>
            <w:tcW w:w="11749" w:type="dxa"/>
            <w:gridSpan w:val="4"/>
            <w:tcBorders>
              <w:top w:val="nil"/>
              <w:left w:val="single" w:color="000000" w:sz="8" w:space="0"/>
              <w:bottom w:val="single" w:color="000000" w:sz="8" w:space="0"/>
              <w:right w:val="single" w:color="000000" w:sz="8" w:space="0"/>
            </w:tcBorders>
            <w:shd w:val="clear" w:color="auto" w:fill="FFFFFF"/>
            <w:tcMar>
              <w:left w:w="108" w:type="dxa"/>
              <w:right w:w="108" w:type="dxa"/>
            </w:tcMar>
            <w:vAlign w:val="center"/>
          </w:tcPr>
          <w:p>
            <w:pPr>
              <w:widowControl/>
              <w:textAlignment w:val="center"/>
              <w:rPr>
                <w:rFonts w:ascii="仿宋_GB2312" w:hAnsi="Times New Roman" w:eastAsia="仿宋_GB2312" w:cs="宋体"/>
                <w:color w:val="333333"/>
                <w:sz w:val="20"/>
                <w:szCs w:val="20"/>
              </w:rPr>
            </w:pPr>
            <w:r>
              <w:rPr>
                <w:rFonts w:hint="eastAsia" w:ascii="仿宋_GB2312" w:hAnsi="Times New Roman" w:eastAsia="仿宋_GB2312" w:cs="宋体"/>
                <w:color w:val="333333"/>
                <w:sz w:val="20"/>
                <w:szCs w:val="20"/>
              </w:rPr>
              <w:t>（二）做好市场规则标准和监管执法信息公开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cantSplit/>
          <w:trHeight w:val="3532" w:hRule="atLeast"/>
          <w:jc w:val="center"/>
        </w:trPr>
        <w:tc>
          <w:tcPr>
            <w:tcW w:w="3636" w:type="dxa"/>
            <w:tcBorders>
              <w:top w:val="nil"/>
              <w:left w:val="single" w:color="000000" w:sz="8" w:space="0"/>
              <w:bottom w:val="single" w:color="000000" w:sz="8" w:space="0"/>
              <w:right w:val="single" w:color="000000" w:sz="8" w:space="0"/>
            </w:tcBorders>
            <w:shd w:val="clear" w:color="auto" w:fill="FFFFFF"/>
            <w:tcMar>
              <w:left w:w="108" w:type="dxa"/>
              <w:right w:w="108" w:type="dxa"/>
            </w:tcMar>
            <w:vAlign w:val="center"/>
          </w:tcPr>
          <w:p>
            <w:pPr>
              <w:widowControl/>
              <w:textAlignment w:val="center"/>
              <w:rPr>
                <w:rFonts w:ascii="仿宋_GB2312" w:hAnsi="Times New Roman" w:eastAsia="仿宋_GB2312" w:cs="宋体"/>
                <w:color w:val="333333"/>
                <w:sz w:val="20"/>
                <w:szCs w:val="20"/>
              </w:rPr>
            </w:pPr>
            <w:r>
              <w:rPr>
                <w:rFonts w:ascii="仿宋_GB2312" w:hAnsi="Times New Roman" w:eastAsia="仿宋_GB2312" w:cs="宋体"/>
                <w:color w:val="333333"/>
                <w:sz w:val="20"/>
                <w:szCs w:val="20"/>
              </w:rPr>
              <w:t>4.</w:t>
            </w:r>
            <w:r>
              <w:rPr>
                <w:rFonts w:hint="eastAsia" w:ascii="仿宋_GB2312" w:hAnsi="Times New Roman" w:eastAsia="仿宋_GB2312" w:cs="宋体"/>
                <w:color w:val="333333"/>
                <w:sz w:val="20"/>
                <w:szCs w:val="20"/>
              </w:rPr>
              <w:t>加强市场规则标准公开，打造阳光政务大厅。</w:t>
            </w:r>
          </w:p>
        </w:tc>
        <w:tc>
          <w:tcPr>
            <w:tcW w:w="3956" w:type="dxa"/>
            <w:tcBorders>
              <w:top w:val="single" w:color="000000" w:sz="8" w:space="0"/>
              <w:left w:val="nil"/>
              <w:bottom w:val="single" w:color="000000" w:sz="8" w:space="0"/>
              <w:right w:val="single" w:color="000000" w:sz="8" w:space="0"/>
            </w:tcBorders>
            <w:shd w:val="clear" w:color="auto" w:fill="FFFFFF"/>
            <w:tcMar>
              <w:left w:w="108" w:type="dxa"/>
              <w:right w:w="108" w:type="dxa"/>
            </w:tcMar>
            <w:vAlign w:val="center"/>
          </w:tcPr>
          <w:p>
            <w:pPr>
              <w:widowControl/>
              <w:textAlignment w:val="center"/>
              <w:rPr>
                <w:rFonts w:ascii="仿宋_GB2312" w:hAnsi="Times New Roman" w:eastAsia="仿宋_GB2312" w:cs="宋体"/>
                <w:color w:val="333333"/>
                <w:sz w:val="20"/>
                <w:szCs w:val="20"/>
              </w:rPr>
            </w:pPr>
            <w:r>
              <w:rPr>
                <w:rFonts w:hint="eastAsia" w:ascii="仿宋_GB2312" w:hAnsi="Times New Roman" w:eastAsia="仿宋_GB2312" w:cs="宋体"/>
                <w:color w:val="333333"/>
                <w:sz w:val="20"/>
                <w:szCs w:val="20"/>
              </w:rPr>
              <w:t>全面落实“全国一张清单”管理模式，按照国办要求，主动公开全国统一的市场准入负面清单，并根据调整情况做好更新发布，做到平等准入、开放有序。积极推进行政服务中心政务公开标准化规范化，打造阳光政务大厅。坚持通过线上线下相结合的方式，全面、及时、准确公开政务服务事项、办事指南、办事流程、办事机构、常见问题、监督举报方式等信息。</w:t>
            </w:r>
          </w:p>
        </w:tc>
        <w:tc>
          <w:tcPr>
            <w:tcW w:w="1656" w:type="dxa"/>
            <w:tcBorders>
              <w:top w:val="single" w:color="000000" w:sz="8" w:space="0"/>
              <w:left w:val="nil"/>
              <w:bottom w:val="single" w:color="000000" w:sz="8" w:space="0"/>
              <w:right w:val="single" w:color="000000" w:sz="8" w:space="0"/>
            </w:tcBorders>
            <w:shd w:val="clear" w:color="auto" w:fill="FFFFFF"/>
            <w:tcMar>
              <w:left w:w="108" w:type="dxa"/>
              <w:right w:w="108" w:type="dxa"/>
            </w:tcMar>
            <w:vAlign w:val="center"/>
          </w:tcPr>
          <w:p>
            <w:pPr>
              <w:widowControl/>
              <w:jc w:val="center"/>
              <w:textAlignment w:val="center"/>
              <w:rPr>
                <w:rFonts w:ascii="仿宋_GB2312" w:hAnsi="Times New Roman" w:eastAsia="仿宋_GB2312" w:cs="宋体"/>
                <w:color w:val="333333"/>
                <w:sz w:val="20"/>
                <w:szCs w:val="20"/>
              </w:rPr>
            </w:pPr>
            <w:r>
              <w:rPr>
                <w:rFonts w:hint="eastAsia" w:ascii="仿宋_GB2312" w:hAnsi="Times New Roman" w:eastAsia="仿宋_GB2312" w:cs="宋体"/>
                <w:color w:val="333333"/>
                <w:sz w:val="20"/>
                <w:szCs w:val="20"/>
              </w:rPr>
              <w:t>区审批管理局</w:t>
            </w:r>
          </w:p>
          <w:p>
            <w:pPr>
              <w:widowControl/>
              <w:jc w:val="center"/>
              <w:textAlignment w:val="center"/>
              <w:rPr>
                <w:rFonts w:ascii="仿宋_GB2312" w:hAnsi="Times New Roman" w:eastAsia="仿宋_GB2312" w:cs="宋体"/>
                <w:color w:val="333333"/>
                <w:sz w:val="20"/>
                <w:szCs w:val="20"/>
              </w:rPr>
            </w:pPr>
            <w:r>
              <w:rPr>
                <w:rFonts w:hint="eastAsia" w:ascii="仿宋_GB2312" w:hAnsi="Times New Roman" w:eastAsia="仿宋_GB2312" w:cs="宋体"/>
                <w:color w:val="333333"/>
                <w:sz w:val="20"/>
                <w:szCs w:val="20"/>
              </w:rPr>
              <w:t>区市场监管局</w:t>
            </w:r>
            <w:r>
              <w:rPr>
                <w:rFonts w:ascii="仿宋_GB2312" w:hAnsi="Times New Roman" w:eastAsia="仿宋_GB2312" w:cs="宋体"/>
                <w:color w:val="333333"/>
                <w:sz w:val="20"/>
                <w:szCs w:val="20"/>
              </w:rPr>
              <w:br w:type="textWrapping"/>
            </w:r>
            <w:r>
              <w:rPr>
                <w:rFonts w:hint="eastAsia" w:ascii="仿宋_GB2312" w:hAnsi="Times New Roman" w:eastAsia="仿宋_GB2312" w:cs="宋体"/>
                <w:color w:val="333333"/>
                <w:sz w:val="20"/>
                <w:szCs w:val="20"/>
              </w:rPr>
              <w:t>区商务局</w:t>
            </w:r>
          </w:p>
        </w:tc>
        <w:tc>
          <w:tcPr>
            <w:tcW w:w="2501" w:type="dxa"/>
            <w:tcBorders>
              <w:top w:val="single" w:color="000000" w:sz="8" w:space="0"/>
              <w:left w:val="nil"/>
              <w:bottom w:val="single" w:color="000000" w:sz="8" w:space="0"/>
              <w:right w:val="single" w:color="000000" w:sz="8" w:space="0"/>
            </w:tcBorders>
            <w:shd w:val="clear" w:color="auto" w:fill="FFFFFF"/>
            <w:tcMar>
              <w:left w:w="108" w:type="dxa"/>
              <w:right w:w="108" w:type="dxa"/>
            </w:tcMar>
            <w:vAlign w:val="center"/>
          </w:tcPr>
          <w:p>
            <w:pPr>
              <w:widowControl/>
              <w:textAlignment w:val="center"/>
              <w:rPr>
                <w:rFonts w:ascii="仿宋_GB2312" w:hAnsi="Times New Roman" w:eastAsia="仿宋_GB2312" w:cs="宋体"/>
                <w:color w:val="333333"/>
                <w:sz w:val="20"/>
                <w:szCs w:val="20"/>
              </w:rPr>
            </w:pPr>
            <w:r>
              <w:rPr>
                <w:rFonts w:hint="eastAsia" w:ascii="仿宋_GB2312" w:hAnsi="Times New Roman" w:eastAsia="仿宋_GB2312" w:cs="宋体"/>
                <w:color w:val="333333"/>
                <w:sz w:val="20"/>
                <w:szCs w:val="20"/>
              </w:rPr>
              <w:t>各街道，各部门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cantSplit/>
          <w:trHeight w:val="2317" w:hRule="atLeast"/>
          <w:jc w:val="center"/>
        </w:trPr>
        <w:tc>
          <w:tcPr>
            <w:tcW w:w="3636" w:type="dxa"/>
            <w:tcBorders>
              <w:top w:val="nil"/>
              <w:left w:val="single" w:color="000000" w:sz="8" w:space="0"/>
              <w:bottom w:val="single" w:color="000000" w:sz="8" w:space="0"/>
              <w:right w:val="single" w:color="000000" w:sz="8" w:space="0"/>
            </w:tcBorders>
            <w:shd w:val="clear" w:color="auto" w:fill="FFFFFF"/>
            <w:tcMar>
              <w:left w:w="108" w:type="dxa"/>
              <w:right w:w="108" w:type="dxa"/>
            </w:tcMar>
            <w:vAlign w:val="center"/>
          </w:tcPr>
          <w:p>
            <w:pPr>
              <w:widowControl/>
              <w:textAlignment w:val="center"/>
              <w:rPr>
                <w:rFonts w:ascii="仿宋_GB2312" w:hAnsi="Times New Roman" w:eastAsia="仿宋_GB2312" w:cs="宋体"/>
                <w:color w:val="333333"/>
                <w:sz w:val="20"/>
                <w:szCs w:val="20"/>
              </w:rPr>
            </w:pPr>
            <w:r>
              <w:rPr>
                <w:rFonts w:ascii="仿宋_GB2312" w:hAnsi="Times New Roman" w:eastAsia="仿宋_GB2312" w:cs="宋体"/>
                <w:color w:val="333333"/>
                <w:sz w:val="20"/>
                <w:szCs w:val="20"/>
              </w:rPr>
              <w:t>5.</w:t>
            </w:r>
            <w:r>
              <w:rPr>
                <w:rFonts w:hint="eastAsia" w:ascii="仿宋_GB2312" w:hAnsi="Times New Roman" w:eastAsia="仿宋_GB2312" w:cs="宋体"/>
                <w:color w:val="333333"/>
                <w:sz w:val="20"/>
                <w:szCs w:val="20"/>
              </w:rPr>
              <w:t>及时公开建设高标准市场体系政策举措。</w:t>
            </w:r>
            <w:r>
              <w:rPr>
                <w:rFonts w:ascii="仿宋_GB2312" w:hAnsi="Times New Roman" w:eastAsia="仿宋_GB2312" w:cs="宋体"/>
                <w:color w:val="333333"/>
                <w:sz w:val="20"/>
                <w:szCs w:val="20"/>
              </w:rPr>
              <w:t xml:space="preserve"> </w:t>
            </w:r>
          </w:p>
        </w:tc>
        <w:tc>
          <w:tcPr>
            <w:tcW w:w="3956" w:type="dxa"/>
            <w:tcBorders>
              <w:top w:val="nil"/>
              <w:left w:val="nil"/>
              <w:bottom w:val="single" w:color="000000" w:sz="8" w:space="0"/>
              <w:right w:val="single" w:color="000000" w:sz="8" w:space="0"/>
            </w:tcBorders>
            <w:shd w:val="clear" w:color="auto" w:fill="FFFFFF"/>
            <w:tcMar>
              <w:left w:w="108" w:type="dxa"/>
              <w:right w:w="108" w:type="dxa"/>
            </w:tcMar>
            <w:vAlign w:val="center"/>
          </w:tcPr>
          <w:p>
            <w:pPr>
              <w:widowControl/>
              <w:rPr>
                <w:rFonts w:ascii="仿宋_GB2312" w:hAnsi="Times New Roman" w:eastAsia="仿宋_GB2312" w:cs="宋体"/>
                <w:color w:val="333333"/>
                <w:sz w:val="20"/>
                <w:szCs w:val="20"/>
              </w:rPr>
            </w:pPr>
            <w:r>
              <w:rPr>
                <w:rFonts w:hint="eastAsia" w:ascii="仿宋_GB2312" w:hAnsi="Times New Roman" w:eastAsia="仿宋_GB2312" w:cs="宋体"/>
                <w:color w:val="333333"/>
                <w:sz w:val="20"/>
                <w:szCs w:val="20"/>
              </w:rPr>
              <w:t>及时公开建设高标准市场体系行动方案的落实举措，助力建设高效规范、公平竞争的市场环境。</w:t>
            </w:r>
          </w:p>
        </w:tc>
        <w:tc>
          <w:tcPr>
            <w:tcW w:w="1656" w:type="dxa"/>
            <w:tcBorders>
              <w:top w:val="nil"/>
              <w:left w:val="nil"/>
              <w:bottom w:val="single" w:color="000000" w:sz="8" w:space="0"/>
              <w:right w:val="single" w:color="000000" w:sz="8" w:space="0"/>
            </w:tcBorders>
            <w:shd w:val="clear" w:color="auto" w:fill="FFFFFF"/>
            <w:tcMar>
              <w:left w:w="108" w:type="dxa"/>
              <w:right w:w="108" w:type="dxa"/>
            </w:tcMar>
            <w:vAlign w:val="center"/>
          </w:tcPr>
          <w:p>
            <w:pPr>
              <w:widowControl/>
              <w:jc w:val="center"/>
              <w:textAlignment w:val="center"/>
              <w:rPr>
                <w:rFonts w:ascii="仿宋_GB2312" w:hAnsi="Times New Roman" w:eastAsia="仿宋_GB2312" w:cs="宋体"/>
                <w:color w:val="333333"/>
                <w:sz w:val="20"/>
                <w:szCs w:val="20"/>
              </w:rPr>
            </w:pPr>
            <w:r>
              <w:rPr>
                <w:rFonts w:hint="eastAsia" w:ascii="仿宋_GB2312" w:hAnsi="Times New Roman" w:eastAsia="仿宋_GB2312" w:cs="宋体"/>
                <w:color w:val="333333"/>
                <w:sz w:val="20"/>
                <w:szCs w:val="20"/>
              </w:rPr>
              <w:t>区市场监管局</w:t>
            </w:r>
            <w:r>
              <w:rPr>
                <w:rFonts w:ascii="仿宋_GB2312" w:hAnsi="Times New Roman" w:eastAsia="仿宋_GB2312" w:cs="宋体"/>
                <w:color w:val="333333"/>
                <w:sz w:val="20"/>
                <w:szCs w:val="20"/>
              </w:rPr>
              <w:br w:type="textWrapping"/>
            </w:r>
            <w:r>
              <w:rPr>
                <w:rFonts w:hint="eastAsia" w:ascii="仿宋_GB2312" w:hAnsi="Times New Roman" w:eastAsia="仿宋_GB2312" w:cs="宋体"/>
                <w:color w:val="333333"/>
                <w:sz w:val="20"/>
                <w:szCs w:val="20"/>
              </w:rPr>
              <w:t>区商务局</w:t>
            </w:r>
          </w:p>
        </w:tc>
        <w:tc>
          <w:tcPr>
            <w:tcW w:w="2501" w:type="dxa"/>
            <w:tcBorders>
              <w:top w:val="nil"/>
              <w:left w:val="nil"/>
              <w:bottom w:val="single" w:color="000000" w:sz="8" w:space="0"/>
              <w:right w:val="single" w:color="000000" w:sz="8" w:space="0"/>
            </w:tcBorders>
            <w:shd w:val="clear" w:color="auto" w:fill="FFFFFF"/>
            <w:tcMar>
              <w:left w:w="108" w:type="dxa"/>
              <w:right w:w="108" w:type="dxa"/>
            </w:tcMar>
            <w:vAlign w:val="center"/>
          </w:tcPr>
          <w:p>
            <w:pPr>
              <w:widowControl/>
              <w:textAlignment w:val="center"/>
              <w:rPr>
                <w:rFonts w:ascii="仿宋_GB2312" w:hAnsi="Times New Roman" w:eastAsia="仿宋_GB2312" w:cs="宋体"/>
                <w:color w:val="333333"/>
                <w:sz w:val="20"/>
                <w:szCs w:val="20"/>
              </w:rPr>
            </w:pPr>
            <w:r>
              <w:rPr>
                <w:rFonts w:hint="eastAsia" w:ascii="仿宋_GB2312" w:hAnsi="Times New Roman" w:eastAsia="仿宋_GB2312" w:cs="宋体"/>
                <w:color w:val="333333"/>
                <w:sz w:val="20"/>
                <w:szCs w:val="20"/>
              </w:rPr>
              <w:t>各街道，各部门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cantSplit/>
          <w:trHeight w:val="2048" w:hRule="atLeast"/>
          <w:jc w:val="center"/>
        </w:trPr>
        <w:tc>
          <w:tcPr>
            <w:tcW w:w="3636" w:type="dxa"/>
            <w:tcBorders>
              <w:top w:val="nil"/>
              <w:left w:val="single" w:color="000000" w:sz="8" w:space="0"/>
              <w:bottom w:val="single" w:color="000000" w:sz="8" w:space="0"/>
              <w:right w:val="single" w:color="000000" w:sz="8" w:space="0"/>
            </w:tcBorders>
            <w:shd w:val="clear" w:color="auto" w:fill="FFFFFF"/>
            <w:tcMar>
              <w:left w:w="108" w:type="dxa"/>
              <w:right w:w="108" w:type="dxa"/>
            </w:tcMar>
            <w:vAlign w:val="center"/>
          </w:tcPr>
          <w:p>
            <w:pPr>
              <w:widowControl/>
              <w:textAlignment w:val="center"/>
              <w:rPr>
                <w:rFonts w:ascii="仿宋_GB2312" w:hAnsi="Times New Roman" w:eastAsia="仿宋_GB2312" w:cs="宋体"/>
                <w:color w:val="333333"/>
                <w:sz w:val="20"/>
                <w:szCs w:val="20"/>
              </w:rPr>
            </w:pPr>
            <w:r>
              <w:rPr>
                <w:rFonts w:ascii="仿宋_GB2312" w:hAnsi="Times New Roman" w:eastAsia="仿宋_GB2312" w:cs="宋体"/>
                <w:color w:val="333333"/>
                <w:sz w:val="20"/>
                <w:szCs w:val="20"/>
              </w:rPr>
              <w:t>6.</w:t>
            </w:r>
            <w:r>
              <w:rPr>
                <w:rFonts w:hint="eastAsia" w:ascii="仿宋_GB2312" w:hAnsi="Times New Roman" w:eastAsia="仿宋_GB2312" w:cs="宋体"/>
                <w:color w:val="333333"/>
                <w:sz w:val="20"/>
                <w:szCs w:val="20"/>
              </w:rPr>
              <w:t>加强监管执法信息公开。</w:t>
            </w:r>
          </w:p>
        </w:tc>
        <w:tc>
          <w:tcPr>
            <w:tcW w:w="3956" w:type="dxa"/>
            <w:tcBorders>
              <w:top w:val="nil"/>
              <w:left w:val="nil"/>
              <w:bottom w:val="single" w:color="000000" w:sz="8" w:space="0"/>
              <w:right w:val="single" w:color="000000" w:sz="8" w:space="0"/>
            </w:tcBorders>
            <w:shd w:val="clear" w:color="auto" w:fill="FFFFFF"/>
            <w:tcMar>
              <w:left w:w="108" w:type="dxa"/>
              <w:right w:w="108" w:type="dxa"/>
            </w:tcMar>
            <w:vAlign w:val="center"/>
          </w:tcPr>
          <w:p>
            <w:pPr>
              <w:widowControl/>
              <w:textAlignment w:val="center"/>
              <w:rPr>
                <w:rFonts w:ascii="仿宋_GB2312" w:hAnsi="Times New Roman" w:eastAsia="仿宋_GB2312" w:cs="宋体"/>
                <w:color w:val="333333"/>
                <w:sz w:val="20"/>
                <w:szCs w:val="20"/>
              </w:rPr>
            </w:pPr>
            <w:r>
              <w:rPr>
                <w:rFonts w:hint="eastAsia" w:ascii="仿宋_GB2312" w:hAnsi="Times New Roman" w:eastAsia="仿宋_GB2312" w:cs="宋体"/>
                <w:color w:val="333333"/>
                <w:sz w:val="20"/>
                <w:szCs w:val="20"/>
              </w:rPr>
              <w:t>加强反垄断、反不正当竞争和知识产权保护政策法规与执法信息公开，一视同仁公正监管，维护公平竞争市场秩序，促进规范创新发展。</w:t>
            </w:r>
          </w:p>
        </w:tc>
        <w:tc>
          <w:tcPr>
            <w:tcW w:w="1656" w:type="dxa"/>
            <w:tcBorders>
              <w:top w:val="nil"/>
              <w:left w:val="nil"/>
              <w:bottom w:val="single" w:color="000000" w:sz="8" w:space="0"/>
              <w:right w:val="single" w:color="000000" w:sz="8" w:space="0"/>
            </w:tcBorders>
            <w:shd w:val="clear" w:color="auto" w:fill="FFFFFF"/>
            <w:tcMar>
              <w:left w:w="108" w:type="dxa"/>
              <w:right w:w="108" w:type="dxa"/>
            </w:tcMar>
            <w:vAlign w:val="center"/>
          </w:tcPr>
          <w:p>
            <w:pPr>
              <w:widowControl/>
              <w:jc w:val="center"/>
              <w:rPr>
                <w:rFonts w:ascii="仿宋_GB2312" w:hAnsi="Times New Roman" w:eastAsia="仿宋_GB2312" w:cs="宋体"/>
                <w:color w:val="333333"/>
                <w:sz w:val="20"/>
                <w:szCs w:val="20"/>
              </w:rPr>
            </w:pPr>
            <w:r>
              <w:rPr>
                <w:rFonts w:hint="eastAsia" w:ascii="仿宋_GB2312" w:hAnsi="Times New Roman" w:eastAsia="仿宋_GB2312" w:cs="宋体"/>
                <w:color w:val="333333"/>
                <w:sz w:val="20"/>
                <w:szCs w:val="20"/>
              </w:rPr>
              <w:t>区市场监管局</w:t>
            </w:r>
          </w:p>
          <w:p>
            <w:pPr>
              <w:widowControl/>
              <w:jc w:val="center"/>
              <w:rPr>
                <w:rFonts w:ascii="仿宋_GB2312" w:hAnsi="Times New Roman" w:eastAsia="仿宋_GB2312" w:cs="宋体"/>
                <w:color w:val="333333"/>
                <w:sz w:val="20"/>
                <w:szCs w:val="20"/>
              </w:rPr>
            </w:pPr>
            <w:r>
              <w:rPr>
                <w:rFonts w:hint="eastAsia" w:ascii="仿宋_GB2312" w:hAnsi="Times New Roman" w:eastAsia="仿宋_GB2312" w:cs="宋体"/>
                <w:color w:val="333333"/>
                <w:sz w:val="20"/>
                <w:szCs w:val="20"/>
              </w:rPr>
              <w:t>区商务局</w:t>
            </w:r>
          </w:p>
        </w:tc>
        <w:tc>
          <w:tcPr>
            <w:tcW w:w="2501" w:type="dxa"/>
            <w:tcBorders>
              <w:top w:val="nil"/>
              <w:left w:val="nil"/>
              <w:bottom w:val="single" w:color="000000" w:sz="8" w:space="0"/>
              <w:right w:val="single" w:color="000000" w:sz="8" w:space="0"/>
            </w:tcBorders>
            <w:shd w:val="clear" w:color="auto" w:fill="FFFFFF"/>
            <w:tcMar>
              <w:left w:w="108" w:type="dxa"/>
              <w:right w:w="108" w:type="dxa"/>
            </w:tcMar>
            <w:vAlign w:val="center"/>
          </w:tcPr>
          <w:p>
            <w:pPr>
              <w:widowControl/>
              <w:textAlignment w:val="center"/>
              <w:rPr>
                <w:rFonts w:ascii="仿宋_GB2312" w:hAnsi="Times New Roman" w:eastAsia="仿宋_GB2312" w:cs="宋体"/>
                <w:color w:val="333333"/>
                <w:sz w:val="20"/>
                <w:szCs w:val="20"/>
              </w:rPr>
            </w:pPr>
            <w:r>
              <w:rPr>
                <w:rFonts w:hint="eastAsia" w:ascii="仿宋_GB2312" w:hAnsi="Times New Roman" w:eastAsia="仿宋_GB2312" w:cs="宋体"/>
                <w:color w:val="333333"/>
                <w:sz w:val="20"/>
                <w:szCs w:val="20"/>
              </w:rPr>
              <w:t>各街道，各部门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cantSplit/>
          <w:trHeight w:val="542" w:hRule="atLeast"/>
          <w:jc w:val="center"/>
        </w:trPr>
        <w:tc>
          <w:tcPr>
            <w:tcW w:w="11749" w:type="dxa"/>
            <w:gridSpan w:val="4"/>
            <w:tcBorders>
              <w:top w:val="nil"/>
              <w:left w:val="single" w:color="000000" w:sz="8" w:space="0"/>
              <w:bottom w:val="single" w:color="000000" w:sz="8" w:space="0"/>
              <w:right w:val="single" w:color="000000" w:sz="8" w:space="0"/>
            </w:tcBorders>
            <w:shd w:val="clear" w:color="auto" w:fill="FFFFFF"/>
            <w:tcMar>
              <w:left w:w="108" w:type="dxa"/>
              <w:right w:w="108" w:type="dxa"/>
            </w:tcMar>
            <w:vAlign w:val="center"/>
          </w:tcPr>
          <w:p>
            <w:pPr>
              <w:widowControl/>
              <w:textAlignment w:val="center"/>
              <w:rPr>
                <w:rFonts w:ascii="仿宋_GB2312" w:hAnsi="Times New Roman" w:eastAsia="仿宋_GB2312" w:cs="宋体"/>
                <w:sz w:val="20"/>
                <w:szCs w:val="20"/>
              </w:rPr>
            </w:pPr>
            <w:r>
              <w:rPr>
                <w:rFonts w:hint="eastAsia" w:ascii="仿宋_GB2312" w:hAnsi="Times New Roman" w:eastAsia="仿宋_GB2312" w:cs="宋体"/>
                <w:color w:val="333333"/>
                <w:sz w:val="20"/>
                <w:szCs w:val="20"/>
              </w:rPr>
              <w:t>（三）做好财政信息公开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cantSplit/>
          <w:trHeight w:val="2111" w:hRule="atLeast"/>
          <w:jc w:val="center"/>
        </w:trPr>
        <w:tc>
          <w:tcPr>
            <w:tcW w:w="3636" w:type="dxa"/>
            <w:tcBorders>
              <w:top w:val="nil"/>
              <w:left w:val="single" w:color="000000" w:sz="8" w:space="0"/>
              <w:bottom w:val="single" w:color="000000" w:sz="8" w:space="0"/>
              <w:right w:val="single" w:color="000000" w:sz="8" w:space="0"/>
            </w:tcBorders>
            <w:shd w:val="clear" w:color="auto" w:fill="FFFFFF"/>
            <w:tcMar>
              <w:left w:w="108" w:type="dxa"/>
              <w:right w:w="108" w:type="dxa"/>
            </w:tcMar>
            <w:vAlign w:val="center"/>
          </w:tcPr>
          <w:p>
            <w:pPr>
              <w:widowControl/>
              <w:textAlignment w:val="center"/>
              <w:rPr>
                <w:rFonts w:ascii="仿宋_GB2312" w:hAnsi="Times New Roman" w:eastAsia="仿宋_GB2312" w:cs="宋体"/>
                <w:color w:val="333333"/>
                <w:sz w:val="20"/>
                <w:szCs w:val="20"/>
              </w:rPr>
            </w:pPr>
            <w:r>
              <w:rPr>
                <w:rFonts w:ascii="仿宋_GB2312" w:hAnsi="Times New Roman" w:eastAsia="仿宋_GB2312" w:cs="宋体"/>
                <w:color w:val="333333"/>
                <w:sz w:val="20"/>
                <w:szCs w:val="20"/>
              </w:rPr>
              <w:t>7.</w:t>
            </w:r>
            <w:r>
              <w:rPr>
                <w:rFonts w:hint="eastAsia" w:ascii="仿宋_GB2312" w:hAnsi="Times New Roman" w:eastAsia="仿宋_GB2312" w:cs="宋体"/>
                <w:color w:val="333333"/>
                <w:sz w:val="20"/>
                <w:szCs w:val="20"/>
              </w:rPr>
              <w:t>稳步扩大预决算公开范围。</w:t>
            </w:r>
          </w:p>
        </w:tc>
        <w:tc>
          <w:tcPr>
            <w:tcW w:w="3956" w:type="dxa"/>
            <w:tcBorders>
              <w:top w:val="single" w:color="000000" w:sz="8" w:space="0"/>
              <w:left w:val="nil"/>
              <w:bottom w:val="single" w:color="000000" w:sz="8" w:space="0"/>
              <w:right w:val="single" w:color="000000" w:sz="8" w:space="0"/>
            </w:tcBorders>
            <w:shd w:val="clear" w:color="auto" w:fill="FFFFFF"/>
            <w:tcMar>
              <w:left w:w="108" w:type="dxa"/>
              <w:right w:w="108" w:type="dxa"/>
            </w:tcMar>
            <w:vAlign w:val="center"/>
          </w:tcPr>
          <w:p>
            <w:pPr>
              <w:widowControl/>
              <w:textAlignment w:val="center"/>
              <w:rPr>
                <w:rFonts w:ascii="仿宋_GB2312" w:hAnsi="Times New Roman" w:eastAsia="仿宋_GB2312" w:cs="宋体"/>
                <w:color w:val="333333"/>
                <w:sz w:val="20"/>
                <w:szCs w:val="20"/>
              </w:rPr>
            </w:pPr>
            <w:r>
              <w:rPr>
                <w:rFonts w:hint="eastAsia" w:ascii="仿宋_GB2312" w:hAnsi="Times New Roman" w:eastAsia="仿宋_GB2312" w:cs="宋体"/>
                <w:color w:val="333333"/>
                <w:sz w:val="20"/>
                <w:szCs w:val="20"/>
              </w:rPr>
              <w:t>按上级部署，稳步扩大政府预决算公开范围，推进部门所属单位预算、决算及相关报表公开。</w:t>
            </w:r>
          </w:p>
        </w:tc>
        <w:tc>
          <w:tcPr>
            <w:tcW w:w="1656" w:type="dxa"/>
            <w:tcBorders>
              <w:top w:val="single" w:color="000000" w:sz="8" w:space="0"/>
              <w:left w:val="nil"/>
              <w:bottom w:val="single" w:color="000000" w:sz="8" w:space="0"/>
              <w:right w:val="single" w:color="000000" w:sz="8" w:space="0"/>
            </w:tcBorders>
            <w:shd w:val="clear" w:color="auto" w:fill="FFFFFF"/>
            <w:tcMar>
              <w:left w:w="108" w:type="dxa"/>
              <w:right w:w="108" w:type="dxa"/>
            </w:tcMar>
            <w:vAlign w:val="center"/>
          </w:tcPr>
          <w:p>
            <w:pPr>
              <w:widowControl/>
              <w:jc w:val="center"/>
              <w:textAlignment w:val="center"/>
              <w:rPr>
                <w:rFonts w:ascii="仿宋_GB2312" w:hAnsi="Times New Roman" w:eastAsia="仿宋_GB2312" w:cs="宋体"/>
                <w:color w:val="333333"/>
                <w:sz w:val="20"/>
                <w:szCs w:val="20"/>
              </w:rPr>
            </w:pPr>
            <w:r>
              <w:rPr>
                <w:rFonts w:hint="eastAsia" w:ascii="仿宋_GB2312" w:hAnsi="Times New Roman" w:eastAsia="仿宋_GB2312" w:cs="宋体"/>
                <w:color w:val="333333"/>
                <w:sz w:val="20"/>
                <w:szCs w:val="20"/>
              </w:rPr>
              <w:t>区财政局</w:t>
            </w:r>
          </w:p>
        </w:tc>
        <w:tc>
          <w:tcPr>
            <w:tcW w:w="2501" w:type="dxa"/>
            <w:tcBorders>
              <w:top w:val="single" w:color="000000" w:sz="8" w:space="0"/>
              <w:left w:val="nil"/>
              <w:bottom w:val="single" w:color="000000" w:sz="8" w:space="0"/>
              <w:right w:val="single" w:color="000000" w:sz="8" w:space="0"/>
            </w:tcBorders>
            <w:shd w:val="clear" w:color="auto" w:fill="FFFFFF"/>
            <w:tcMar>
              <w:left w:w="108" w:type="dxa"/>
              <w:right w:w="108" w:type="dxa"/>
            </w:tcMar>
            <w:vAlign w:val="center"/>
          </w:tcPr>
          <w:p>
            <w:pPr>
              <w:widowControl/>
              <w:textAlignment w:val="center"/>
              <w:rPr>
                <w:rFonts w:ascii="仿宋_GB2312" w:hAnsi="Times New Roman" w:eastAsia="仿宋_GB2312" w:cs="宋体"/>
                <w:color w:val="333333"/>
                <w:sz w:val="20"/>
                <w:szCs w:val="20"/>
              </w:rPr>
            </w:pPr>
            <w:r>
              <w:rPr>
                <w:rFonts w:hint="eastAsia" w:ascii="仿宋_GB2312" w:hAnsi="Times New Roman" w:eastAsia="仿宋_GB2312" w:cs="宋体"/>
                <w:color w:val="333333"/>
                <w:sz w:val="20"/>
                <w:szCs w:val="20"/>
              </w:rPr>
              <w:t>各街道，各部门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cantSplit/>
          <w:trHeight w:val="3221" w:hRule="atLeast"/>
          <w:jc w:val="center"/>
        </w:trPr>
        <w:tc>
          <w:tcPr>
            <w:tcW w:w="3636" w:type="dxa"/>
            <w:tcBorders>
              <w:top w:val="nil"/>
              <w:left w:val="single" w:color="000000" w:sz="8" w:space="0"/>
              <w:bottom w:val="single" w:color="000000" w:sz="8" w:space="0"/>
              <w:right w:val="single" w:color="000000" w:sz="8" w:space="0"/>
            </w:tcBorders>
            <w:shd w:val="clear" w:color="auto" w:fill="FFFFFF"/>
            <w:tcMar>
              <w:left w:w="108" w:type="dxa"/>
              <w:right w:w="108" w:type="dxa"/>
            </w:tcMar>
            <w:vAlign w:val="center"/>
          </w:tcPr>
          <w:p>
            <w:pPr>
              <w:widowControl/>
              <w:textAlignment w:val="center"/>
              <w:rPr>
                <w:rFonts w:ascii="仿宋_GB2312" w:hAnsi="Times New Roman" w:eastAsia="仿宋_GB2312" w:cs="宋体"/>
                <w:color w:val="FF0000"/>
                <w:sz w:val="20"/>
                <w:szCs w:val="20"/>
              </w:rPr>
            </w:pPr>
            <w:r>
              <w:rPr>
                <w:rFonts w:ascii="仿宋_GB2312" w:hAnsi="Times New Roman" w:eastAsia="仿宋_GB2312" w:cs="宋体"/>
                <w:color w:val="000000"/>
                <w:sz w:val="20"/>
                <w:szCs w:val="20"/>
              </w:rPr>
              <w:t>8</w:t>
            </w:r>
            <w:r>
              <w:rPr>
                <w:rFonts w:ascii="仿宋_GB2312" w:hAnsi="Times New Roman" w:eastAsia="仿宋_GB2312" w:cs="宋体"/>
                <w:color w:val="333333"/>
                <w:sz w:val="20"/>
                <w:szCs w:val="20"/>
              </w:rPr>
              <w:t>.</w:t>
            </w:r>
            <w:r>
              <w:rPr>
                <w:rFonts w:hint="eastAsia" w:ascii="仿宋_GB2312" w:hAnsi="Times New Roman" w:eastAsia="仿宋_GB2312" w:cs="宋体"/>
                <w:color w:val="333333"/>
                <w:sz w:val="20"/>
                <w:szCs w:val="20"/>
              </w:rPr>
              <w:t>深化地方政府债务信息公开和政府采购项目全链条信息公开。</w:t>
            </w:r>
          </w:p>
        </w:tc>
        <w:tc>
          <w:tcPr>
            <w:tcW w:w="3956" w:type="dxa"/>
            <w:tcBorders>
              <w:top w:val="nil"/>
              <w:left w:val="nil"/>
              <w:bottom w:val="single" w:color="000000" w:sz="8" w:space="0"/>
              <w:right w:val="single" w:color="000000" w:sz="8" w:space="0"/>
            </w:tcBorders>
            <w:shd w:val="clear" w:color="auto" w:fill="FFFFFF"/>
            <w:tcMar>
              <w:left w:w="108" w:type="dxa"/>
              <w:right w:w="108" w:type="dxa"/>
            </w:tcMar>
            <w:vAlign w:val="center"/>
          </w:tcPr>
          <w:p>
            <w:pPr>
              <w:widowControl/>
              <w:textAlignment w:val="center"/>
              <w:rPr>
                <w:rFonts w:ascii="仿宋_GB2312" w:hAnsi="Times New Roman" w:eastAsia="仿宋_GB2312" w:cs="宋体"/>
                <w:color w:val="333333"/>
                <w:sz w:val="20"/>
                <w:szCs w:val="20"/>
              </w:rPr>
            </w:pPr>
            <w:r>
              <w:rPr>
                <w:rFonts w:hint="eastAsia" w:ascii="仿宋_GB2312" w:hAnsi="Times New Roman" w:eastAsia="仿宋_GB2312" w:cs="宋体"/>
                <w:color w:val="333333"/>
                <w:sz w:val="20"/>
                <w:szCs w:val="20"/>
              </w:rPr>
              <w:t>通过集中统一平台定期公开地方政府债务限额、余额、发行、品种、期限、利率、偿还计划、偿债资金来源等信息。不断提升采购公告、采购文件、中标或成交结果、采购合同、投诉处理结果等政府采购项目全链条信息公开标准化规范化水平。</w:t>
            </w:r>
          </w:p>
        </w:tc>
        <w:tc>
          <w:tcPr>
            <w:tcW w:w="1656" w:type="dxa"/>
            <w:tcBorders>
              <w:top w:val="nil"/>
              <w:left w:val="nil"/>
              <w:bottom w:val="single" w:color="000000" w:sz="8" w:space="0"/>
              <w:right w:val="single" w:color="000000" w:sz="8" w:space="0"/>
            </w:tcBorders>
            <w:shd w:val="clear" w:color="auto" w:fill="FFFFFF"/>
            <w:tcMar>
              <w:left w:w="108" w:type="dxa"/>
              <w:right w:w="108" w:type="dxa"/>
            </w:tcMar>
            <w:vAlign w:val="center"/>
          </w:tcPr>
          <w:p>
            <w:pPr>
              <w:widowControl/>
              <w:jc w:val="center"/>
              <w:textAlignment w:val="center"/>
              <w:rPr>
                <w:rFonts w:ascii="仿宋_GB2312" w:hAnsi="Times New Roman" w:eastAsia="仿宋_GB2312" w:cs="宋体"/>
                <w:color w:val="333333"/>
                <w:sz w:val="20"/>
                <w:szCs w:val="20"/>
              </w:rPr>
            </w:pPr>
            <w:r>
              <w:rPr>
                <w:rFonts w:hint="eastAsia" w:ascii="仿宋_GB2312" w:hAnsi="Times New Roman" w:eastAsia="仿宋_GB2312" w:cs="宋体"/>
                <w:color w:val="333333"/>
                <w:sz w:val="20"/>
                <w:szCs w:val="20"/>
              </w:rPr>
              <w:t>区财政局</w:t>
            </w:r>
          </w:p>
        </w:tc>
        <w:tc>
          <w:tcPr>
            <w:tcW w:w="2501" w:type="dxa"/>
            <w:tcBorders>
              <w:top w:val="nil"/>
              <w:left w:val="nil"/>
              <w:bottom w:val="single" w:color="000000" w:sz="8" w:space="0"/>
              <w:right w:val="single" w:color="000000" w:sz="8" w:space="0"/>
            </w:tcBorders>
            <w:shd w:val="clear" w:color="auto" w:fill="FFFFFF"/>
            <w:tcMar>
              <w:left w:w="108" w:type="dxa"/>
              <w:right w:w="108" w:type="dxa"/>
            </w:tcMar>
            <w:vAlign w:val="center"/>
          </w:tcPr>
          <w:p>
            <w:pPr>
              <w:widowControl/>
              <w:textAlignment w:val="center"/>
              <w:rPr>
                <w:rFonts w:ascii="仿宋_GB2312" w:hAnsi="Times New Roman" w:eastAsia="仿宋_GB2312" w:cs="宋体"/>
                <w:color w:val="333333"/>
                <w:sz w:val="20"/>
                <w:szCs w:val="20"/>
              </w:rPr>
            </w:pPr>
            <w:r>
              <w:rPr>
                <w:rFonts w:hint="eastAsia" w:ascii="仿宋_GB2312" w:hAnsi="Times New Roman" w:eastAsia="仿宋_GB2312" w:cs="宋体"/>
                <w:color w:val="333333"/>
                <w:sz w:val="20"/>
                <w:szCs w:val="20"/>
              </w:rPr>
              <w:t>各街道，各部门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cantSplit/>
          <w:trHeight w:val="1543" w:hRule="atLeast"/>
          <w:jc w:val="center"/>
        </w:trPr>
        <w:tc>
          <w:tcPr>
            <w:tcW w:w="3636" w:type="dxa"/>
            <w:tcBorders>
              <w:top w:val="nil"/>
              <w:left w:val="single" w:color="000000" w:sz="8" w:space="0"/>
              <w:bottom w:val="single" w:color="000000" w:sz="8" w:space="0"/>
              <w:right w:val="single" w:color="000000" w:sz="8" w:space="0"/>
            </w:tcBorders>
            <w:shd w:val="clear" w:color="auto" w:fill="FFFFFF"/>
            <w:tcMar>
              <w:left w:w="108" w:type="dxa"/>
              <w:right w:w="108" w:type="dxa"/>
            </w:tcMar>
            <w:vAlign w:val="center"/>
          </w:tcPr>
          <w:p>
            <w:pPr>
              <w:widowControl/>
              <w:textAlignment w:val="center"/>
              <w:rPr>
                <w:rFonts w:ascii="仿宋_GB2312" w:hAnsi="Times New Roman" w:eastAsia="仿宋_GB2312" w:cs="宋体"/>
                <w:color w:val="333333"/>
                <w:sz w:val="20"/>
                <w:szCs w:val="20"/>
              </w:rPr>
            </w:pPr>
            <w:r>
              <w:rPr>
                <w:rFonts w:ascii="仿宋_GB2312" w:hAnsi="Times New Roman" w:eastAsia="仿宋_GB2312" w:cs="宋体"/>
                <w:color w:val="333333"/>
                <w:sz w:val="20"/>
                <w:szCs w:val="20"/>
              </w:rPr>
              <w:t>9.</w:t>
            </w:r>
            <w:r>
              <w:rPr>
                <w:rFonts w:hint="eastAsia" w:ascii="仿宋_GB2312" w:hAnsi="Times New Roman" w:eastAsia="仿宋_GB2312" w:cs="宋体"/>
                <w:color w:val="333333"/>
                <w:sz w:val="20"/>
                <w:szCs w:val="20"/>
              </w:rPr>
              <w:t>加大惠民惠农政策和资金发放信息公开力度。</w:t>
            </w:r>
          </w:p>
        </w:tc>
        <w:tc>
          <w:tcPr>
            <w:tcW w:w="3956" w:type="dxa"/>
            <w:tcBorders>
              <w:top w:val="nil"/>
              <w:left w:val="nil"/>
              <w:bottom w:val="single" w:color="000000" w:sz="8" w:space="0"/>
              <w:right w:val="single" w:color="000000" w:sz="8" w:space="0"/>
            </w:tcBorders>
            <w:shd w:val="clear" w:color="auto" w:fill="FFFFFF"/>
            <w:tcMar>
              <w:left w:w="108" w:type="dxa"/>
              <w:right w:w="108" w:type="dxa"/>
            </w:tcMar>
            <w:vAlign w:val="center"/>
          </w:tcPr>
          <w:p>
            <w:pPr>
              <w:widowControl/>
              <w:textAlignment w:val="center"/>
              <w:rPr>
                <w:rFonts w:ascii="仿宋_GB2312" w:hAnsi="Times New Roman" w:eastAsia="仿宋_GB2312" w:cs="宋体"/>
                <w:color w:val="333333"/>
                <w:sz w:val="20"/>
                <w:szCs w:val="20"/>
              </w:rPr>
            </w:pPr>
            <w:r>
              <w:rPr>
                <w:rFonts w:hint="eastAsia" w:ascii="仿宋_GB2312" w:hAnsi="Times New Roman" w:eastAsia="仿宋_GB2312" w:cs="宋体"/>
                <w:color w:val="333333"/>
                <w:sz w:val="20"/>
                <w:szCs w:val="20"/>
              </w:rPr>
              <w:t>做好惠民惠农资金发放信息公开工作。推动补贴信息公开向村和社区延伸，与村（居）务公开有效衔接。</w:t>
            </w:r>
          </w:p>
        </w:tc>
        <w:tc>
          <w:tcPr>
            <w:tcW w:w="1656" w:type="dxa"/>
            <w:tcBorders>
              <w:top w:val="nil"/>
              <w:left w:val="nil"/>
              <w:bottom w:val="single" w:color="000000" w:sz="8" w:space="0"/>
              <w:right w:val="single" w:color="000000" w:sz="8" w:space="0"/>
            </w:tcBorders>
            <w:shd w:val="clear" w:color="auto" w:fill="FFFFFF"/>
            <w:tcMar>
              <w:left w:w="108" w:type="dxa"/>
              <w:right w:w="108" w:type="dxa"/>
            </w:tcMar>
            <w:vAlign w:val="center"/>
          </w:tcPr>
          <w:p>
            <w:pPr>
              <w:widowControl/>
              <w:jc w:val="center"/>
              <w:textAlignment w:val="center"/>
              <w:rPr>
                <w:rFonts w:ascii="仿宋_GB2312" w:hAnsi="Times New Roman" w:eastAsia="仿宋_GB2312" w:cs="宋体"/>
                <w:color w:val="333333"/>
                <w:sz w:val="20"/>
                <w:szCs w:val="20"/>
              </w:rPr>
            </w:pPr>
            <w:r>
              <w:rPr>
                <w:rFonts w:hint="eastAsia" w:ascii="仿宋_GB2312" w:hAnsi="Times New Roman" w:eastAsia="仿宋_GB2312" w:cs="宋体"/>
                <w:color w:val="333333"/>
                <w:sz w:val="20"/>
                <w:szCs w:val="20"/>
              </w:rPr>
              <w:t>区财政局</w:t>
            </w:r>
          </w:p>
        </w:tc>
        <w:tc>
          <w:tcPr>
            <w:tcW w:w="2501" w:type="dxa"/>
            <w:tcBorders>
              <w:top w:val="nil"/>
              <w:left w:val="nil"/>
              <w:bottom w:val="single" w:color="000000" w:sz="8" w:space="0"/>
              <w:right w:val="single" w:color="000000" w:sz="8" w:space="0"/>
            </w:tcBorders>
            <w:shd w:val="clear" w:color="auto" w:fill="FFFFFF"/>
            <w:tcMar>
              <w:left w:w="108" w:type="dxa"/>
              <w:right w:w="108" w:type="dxa"/>
            </w:tcMar>
            <w:vAlign w:val="center"/>
          </w:tcPr>
          <w:p>
            <w:pPr>
              <w:widowControl/>
              <w:textAlignment w:val="center"/>
              <w:rPr>
                <w:rFonts w:ascii="仿宋_GB2312" w:hAnsi="Times New Roman" w:eastAsia="仿宋_GB2312" w:cs="宋体"/>
                <w:color w:val="333333"/>
                <w:sz w:val="20"/>
                <w:szCs w:val="20"/>
              </w:rPr>
            </w:pPr>
            <w:r>
              <w:rPr>
                <w:rFonts w:hint="eastAsia" w:ascii="仿宋_GB2312" w:hAnsi="Times New Roman" w:eastAsia="仿宋_GB2312" w:cs="宋体"/>
                <w:color w:val="333333"/>
                <w:sz w:val="20"/>
                <w:szCs w:val="20"/>
              </w:rPr>
              <w:t>各街道，各部门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cantSplit/>
          <w:trHeight w:val="714" w:hRule="atLeast"/>
          <w:jc w:val="center"/>
        </w:trPr>
        <w:tc>
          <w:tcPr>
            <w:tcW w:w="11749" w:type="dxa"/>
            <w:gridSpan w:val="4"/>
            <w:tcBorders>
              <w:top w:val="nil"/>
              <w:left w:val="single" w:color="000000" w:sz="8" w:space="0"/>
              <w:bottom w:val="single" w:color="000000" w:sz="8" w:space="0"/>
              <w:right w:val="single" w:color="000000" w:sz="8" w:space="0"/>
            </w:tcBorders>
            <w:shd w:val="clear" w:color="auto" w:fill="FFFFFF"/>
            <w:tcMar>
              <w:left w:w="108" w:type="dxa"/>
              <w:right w:w="108" w:type="dxa"/>
            </w:tcMar>
            <w:vAlign w:val="center"/>
          </w:tcPr>
          <w:p>
            <w:pPr>
              <w:widowControl/>
              <w:textAlignment w:val="center"/>
              <w:rPr>
                <w:rFonts w:ascii="仿宋_GB2312" w:hAnsi="Times New Roman" w:eastAsia="仿宋_GB2312" w:cs="宋体"/>
                <w:color w:val="333333"/>
                <w:sz w:val="20"/>
                <w:szCs w:val="20"/>
              </w:rPr>
            </w:pPr>
            <w:r>
              <w:rPr>
                <w:rFonts w:hint="eastAsia" w:ascii="仿宋_GB2312" w:hAnsi="Times New Roman" w:eastAsia="仿宋_GB2312" w:cs="宋体"/>
                <w:color w:val="333333"/>
                <w:sz w:val="20"/>
                <w:szCs w:val="20"/>
              </w:rPr>
              <w:t>（四）做好常态化疫情防控信息公开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cantSplit/>
          <w:trHeight w:val="90" w:hRule="atLeast"/>
          <w:jc w:val="center"/>
        </w:trPr>
        <w:tc>
          <w:tcPr>
            <w:tcW w:w="3636" w:type="dxa"/>
            <w:tcBorders>
              <w:top w:val="nil"/>
              <w:left w:val="single" w:color="000000" w:sz="8" w:space="0"/>
              <w:bottom w:val="single" w:color="000000" w:sz="8" w:space="0"/>
              <w:right w:val="single" w:color="000000" w:sz="8" w:space="0"/>
            </w:tcBorders>
            <w:shd w:val="clear" w:color="auto" w:fill="FFFFFF"/>
            <w:tcMar>
              <w:left w:w="108" w:type="dxa"/>
              <w:right w:w="108" w:type="dxa"/>
            </w:tcMar>
            <w:vAlign w:val="center"/>
          </w:tcPr>
          <w:p>
            <w:pPr>
              <w:widowControl/>
              <w:textAlignment w:val="center"/>
              <w:rPr>
                <w:rFonts w:ascii="仿宋_GB2312" w:hAnsi="Times New Roman" w:eastAsia="仿宋_GB2312" w:cs="宋体"/>
                <w:color w:val="333333"/>
                <w:sz w:val="20"/>
                <w:szCs w:val="20"/>
              </w:rPr>
            </w:pPr>
            <w:r>
              <w:rPr>
                <w:rFonts w:ascii="仿宋_GB2312" w:hAnsi="Times New Roman" w:eastAsia="仿宋_GB2312" w:cs="宋体"/>
                <w:color w:val="333333"/>
                <w:sz w:val="20"/>
                <w:szCs w:val="20"/>
              </w:rPr>
              <w:t>10.</w:t>
            </w:r>
            <w:r>
              <w:rPr>
                <w:rFonts w:hint="eastAsia" w:ascii="仿宋_GB2312" w:hAnsi="Times New Roman" w:eastAsia="仿宋_GB2312" w:cs="宋体"/>
                <w:color w:val="333333"/>
                <w:sz w:val="20"/>
                <w:szCs w:val="20"/>
              </w:rPr>
              <w:t>持续做好涉疫信息公开，不断增强新冠肺炎疫情防控信息发布的及时性针对性。</w:t>
            </w:r>
          </w:p>
        </w:tc>
        <w:tc>
          <w:tcPr>
            <w:tcW w:w="3956" w:type="dxa"/>
            <w:tcBorders>
              <w:top w:val="single" w:color="000000" w:sz="8" w:space="0"/>
              <w:left w:val="nil"/>
              <w:bottom w:val="single" w:color="000000" w:sz="8" w:space="0"/>
              <w:right w:val="single" w:color="000000" w:sz="8" w:space="0"/>
            </w:tcBorders>
            <w:shd w:val="clear" w:color="auto" w:fill="FFFFFF"/>
            <w:tcMar>
              <w:left w:w="108" w:type="dxa"/>
              <w:right w:w="108" w:type="dxa"/>
            </w:tcMar>
            <w:vAlign w:val="center"/>
          </w:tcPr>
          <w:p>
            <w:pPr>
              <w:widowControl/>
              <w:textAlignment w:val="center"/>
              <w:rPr>
                <w:rFonts w:ascii="仿宋_GB2312" w:hAnsi="Times New Roman" w:eastAsia="仿宋_GB2312" w:cs="宋体"/>
                <w:color w:val="333333"/>
                <w:sz w:val="20"/>
                <w:szCs w:val="20"/>
              </w:rPr>
            </w:pPr>
            <w:r>
              <w:rPr>
                <w:rFonts w:hint="eastAsia" w:ascii="仿宋_GB2312" w:hAnsi="Times New Roman" w:eastAsia="仿宋_GB2312" w:cs="宋体"/>
                <w:color w:val="333333"/>
                <w:sz w:val="20"/>
                <w:szCs w:val="20"/>
              </w:rPr>
              <w:t>坚持生命至上、实事求是，依法发布、分级负责，公开透明、科学规范的原则，及时做好疫情防控信息公开，准确把握常态化疫情防控的阶段性特征，充分利用多方渠道、多个平台和多种形式及时、准确发布疫苗接种、散发疫情、隔离管控、流调溯源、精准防控、冷链物流、假期人员流动等相关信息，权威解读相关政策，主动回应社会关切，精准说明防控措施。</w:t>
            </w:r>
          </w:p>
        </w:tc>
        <w:tc>
          <w:tcPr>
            <w:tcW w:w="1656" w:type="dxa"/>
            <w:tcBorders>
              <w:top w:val="single" w:color="000000" w:sz="8" w:space="0"/>
              <w:left w:val="nil"/>
              <w:bottom w:val="single" w:color="000000" w:sz="8" w:space="0"/>
              <w:right w:val="single" w:color="000000" w:sz="8" w:space="0"/>
            </w:tcBorders>
            <w:shd w:val="clear" w:color="auto" w:fill="FFFFFF"/>
            <w:tcMar>
              <w:left w:w="108" w:type="dxa"/>
              <w:right w:w="108" w:type="dxa"/>
            </w:tcMar>
            <w:vAlign w:val="center"/>
          </w:tcPr>
          <w:p>
            <w:pPr>
              <w:widowControl/>
              <w:jc w:val="center"/>
              <w:textAlignment w:val="center"/>
              <w:rPr>
                <w:rFonts w:ascii="仿宋_GB2312" w:hAnsi="Times New Roman" w:eastAsia="仿宋_GB2312" w:cs="宋体"/>
                <w:color w:val="333333"/>
                <w:sz w:val="20"/>
                <w:szCs w:val="20"/>
              </w:rPr>
            </w:pPr>
            <w:r>
              <w:rPr>
                <w:rFonts w:hint="eastAsia" w:ascii="仿宋_GB2312" w:hAnsi="Times New Roman" w:eastAsia="仿宋_GB2312" w:cs="宋体"/>
                <w:color w:val="333333"/>
                <w:sz w:val="20"/>
                <w:szCs w:val="20"/>
              </w:rPr>
              <w:t>区卫健局</w:t>
            </w:r>
          </w:p>
        </w:tc>
        <w:tc>
          <w:tcPr>
            <w:tcW w:w="2501" w:type="dxa"/>
            <w:tcBorders>
              <w:top w:val="single" w:color="000000" w:sz="8" w:space="0"/>
              <w:left w:val="nil"/>
              <w:bottom w:val="single" w:color="000000" w:sz="8" w:space="0"/>
              <w:right w:val="single" w:color="000000" w:sz="8" w:space="0"/>
            </w:tcBorders>
            <w:shd w:val="clear" w:color="auto" w:fill="FFFFFF"/>
            <w:tcMar>
              <w:left w:w="108" w:type="dxa"/>
              <w:right w:w="108" w:type="dxa"/>
            </w:tcMar>
            <w:vAlign w:val="center"/>
          </w:tcPr>
          <w:p>
            <w:pPr>
              <w:widowControl/>
              <w:textAlignment w:val="center"/>
              <w:rPr>
                <w:rFonts w:ascii="仿宋_GB2312" w:hAnsi="Times New Roman" w:eastAsia="仿宋_GB2312" w:cs="宋体"/>
                <w:color w:val="333333"/>
                <w:sz w:val="20"/>
                <w:szCs w:val="20"/>
              </w:rPr>
            </w:pPr>
            <w:r>
              <w:rPr>
                <w:rFonts w:hint="eastAsia" w:ascii="仿宋_GB2312" w:hAnsi="Times New Roman" w:eastAsia="仿宋_GB2312" w:cs="宋体"/>
                <w:color w:val="333333"/>
                <w:sz w:val="20"/>
                <w:szCs w:val="20"/>
              </w:rPr>
              <w:t>区委宣传部，各街道，各部门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cantSplit/>
          <w:trHeight w:val="2540" w:hRule="atLeast"/>
          <w:jc w:val="center"/>
        </w:trPr>
        <w:tc>
          <w:tcPr>
            <w:tcW w:w="3636" w:type="dxa"/>
            <w:tcBorders>
              <w:top w:val="nil"/>
              <w:left w:val="single" w:color="000000" w:sz="8" w:space="0"/>
              <w:bottom w:val="single" w:color="000000" w:sz="8" w:space="0"/>
              <w:right w:val="single" w:color="000000" w:sz="8" w:space="0"/>
            </w:tcBorders>
            <w:shd w:val="clear" w:color="auto" w:fill="FFFFFF"/>
            <w:tcMar>
              <w:left w:w="108" w:type="dxa"/>
              <w:right w:w="108" w:type="dxa"/>
            </w:tcMar>
            <w:vAlign w:val="center"/>
          </w:tcPr>
          <w:p>
            <w:pPr>
              <w:widowControl/>
              <w:textAlignment w:val="center"/>
              <w:rPr>
                <w:rFonts w:ascii="仿宋_GB2312" w:hAnsi="Times New Roman" w:eastAsia="仿宋_GB2312" w:cs="宋体"/>
                <w:color w:val="333333"/>
                <w:sz w:val="20"/>
                <w:szCs w:val="20"/>
              </w:rPr>
            </w:pPr>
            <w:r>
              <w:rPr>
                <w:rFonts w:ascii="仿宋_GB2312" w:hAnsi="Times New Roman" w:eastAsia="仿宋_GB2312" w:cs="宋体"/>
                <w:color w:val="333333"/>
                <w:sz w:val="20"/>
                <w:szCs w:val="20"/>
              </w:rPr>
              <w:t>11.</w:t>
            </w:r>
            <w:r>
              <w:rPr>
                <w:rFonts w:hint="eastAsia" w:ascii="仿宋_GB2312" w:hAnsi="Times New Roman" w:eastAsia="仿宋_GB2312" w:cs="宋体"/>
                <w:color w:val="333333"/>
                <w:sz w:val="20"/>
                <w:szCs w:val="20"/>
              </w:rPr>
              <w:t>提高新冠肺炎疫情防控信息发布规范化水平。</w:t>
            </w:r>
          </w:p>
        </w:tc>
        <w:tc>
          <w:tcPr>
            <w:tcW w:w="3956" w:type="dxa"/>
            <w:tcBorders>
              <w:top w:val="nil"/>
              <w:left w:val="nil"/>
              <w:bottom w:val="single" w:color="000000" w:sz="8" w:space="0"/>
              <w:right w:val="single" w:color="000000" w:sz="8" w:space="0"/>
            </w:tcBorders>
            <w:shd w:val="clear" w:color="auto" w:fill="FFFFFF"/>
            <w:tcMar>
              <w:left w:w="108" w:type="dxa"/>
              <w:right w:w="108" w:type="dxa"/>
            </w:tcMar>
            <w:vAlign w:val="center"/>
          </w:tcPr>
          <w:p>
            <w:pPr>
              <w:widowControl/>
              <w:textAlignment w:val="center"/>
              <w:rPr>
                <w:rFonts w:ascii="仿宋_GB2312" w:hAnsi="Times New Roman" w:eastAsia="仿宋_GB2312" w:cs="宋体"/>
                <w:color w:val="333333"/>
                <w:sz w:val="20"/>
                <w:szCs w:val="20"/>
              </w:rPr>
            </w:pPr>
            <w:r>
              <w:rPr>
                <w:rFonts w:hint="eastAsia" w:ascii="仿宋_GB2312" w:hAnsi="Times New Roman" w:eastAsia="仿宋_GB2312" w:cs="宋体"/>
                <w:color w:val="333333"/>
                <w:sz w:val="20"/>
                <w:szCs w:val="20"/>
              </w:rPr>
              <w:t>发布社会关注的重大政策、内容敏感的重要信息前，加强统筹协调，在实事求是的前提下，强化政府系统内部信息整合，统一步调对外发声。</w:t>
            </w:r>
          </w:p>
        </w:tc>
        <w:tc>
          <w:tcPr>
            <w:tcW w:w="1656" w:type="dxa"/>
            <w:tcBorders>
              <w:top w:val="nil"/>
              <w:left w:val="nil"/>
              <w:bottom w:val="single" w:color="000000" w:sz="8" w:space="0"/>
              <w:right w:val="single" w:color="000000" w:sz="8" w:space="0"/>
            </w:tcBorders>
            <w:shd w:val="clear" w:color="auto" w:fill="FFFFFF"/>
            <w:tcMar>
              <w:left w:w="108" w:type="dxa"/>
              <w:right w:w="108" w:type="dxa"/>
            </w:tcMar>
            <w:vAlign w:val="center"/>
          </w:tcPr>
          <w:p>
            <w:pPr>
              <w:widowControl/>
              <w:jc w:val="center"/>
              <w:textAlignment w:val="center"/>
              <w:rPr>
                <w:rFonts w:ascii="仿宋_GB2312" w:hAnsi="Times New Roman" w:eastAsia="仿宋_GB2312" w:cs="宋体"/>
                <w:color w:val="333333"/>
                <w:sz w:val="20"/>
                <w:szCs w:val="20"/>
              </w:rPr>
            </w:pPr>
            <w:r>
              <w:rPr>
                <w:rFonts w:hint="eastAsia" w:ascii="仿宋_GB2312" w:hAnsi="Times New Roman" w:eastAsia="仿宋_GB2312" w:cs="宋体"/>
                <w:color w:val="333333"/>
                <w:sz w:val="20"/>
                <w:szCs w:val="20"/>
              </w:rPr>
              <w:t>区卫健局</w:t>
            </w:r>
          </w:p>
        </w:tc>
        <w:tc>
          <w:tcPr>
            <w:tcW w:w="2501" w:type="dxa"/>
            <w:tcBorders>
              <w:top w:val="nil"/>
              <w:left w:val="nil"/>
              <w:bottom w:val="single" w:color="000000" w:sz="8" w:space="0"/>
              <w:right w:val="single" w:color="000000" w:sz="8" w:space="0"/>
            </w:tcBorders>
            <w:shd w:val="clear" w:color="auto" w:fill="FFFFFF"/>
            <w:tcMar>
              <w:left w:w="108" w:type="dxa"/>
              <w:right w:w="108" w:type="dxa"/>
            </w:tcMar>
            <w:vAlign w:val="center"/>
          </w:tcPr>
          <w:p>
            <w:pPr>
              <w:widowControl/>
              <w:textAlignment w:val="center"/>
              <w:rPr>
                <w:rFonts w:ascii="仿宋_GB2312" w:hAnsi="Times New Roman" w:eastAsia="仿宋_GB2312" w:cs="宋体"/>
                <w:color w:val="333333"/>
                <w:sz w:val="20"/>
                <w:szCs w:val="20"/>
              </w:rPr>
            </w:pPr>
            <w:r>
              <w:rPr>
                <w:rFonts w:hint="eastAsia" w:ascii="仿宋_GB2312" w:hAnsi="Times New Roman" w:eastAsia="仿宋_GB2312" w:cs="宋体"/>
                <w:color w:val="333333"/>
                <w:sz w:val="20"/>
                <w:szCs w:val="20"/>
              </w:rPr>
              <w:t>区委宣传部，各街道，各部门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cantSplit/>
          <w:trHeight w:val="2487" w:hRule="atLeast"/>
          <w:jc w:val="center"/>
        </w:trPr>
        <w:tc>
          <w:tcPr>
            <w:tcW w:w="3636" w:type="dxa"/>
            <w:tcBorders>
              <w:top w:val="nil"/>
              <w:left w:val="single" w:color="000000" w:sz="8" w:space="0"/>
              <w:bottom w:val="single" w:color="000000" w:sz="8" w:space="0"/>
              <w:right w:val="single" w:color="000000" w:sz="8" w:space="0"/>
            </w:tcBorders>
            <w:shd w:val="clear" w:color="auto" w:fill="FFFFFF"/>
            <w:tcMar>
              <w:left w:w="108" w:type="dxa"/>
              <w:right w:w="108" w:type="dxa"/>
            </w:tcMar>
            <w:vAlign w:val="center"/>
          </w:tcPr>
          <w:p>
            <w:pPr>
              <w:widowControl/>
              <w:textAlignment w:val="center"/>
              <w:rPr>
                <w:rFonts w:ascii="仿宋_GB2312" w:hAnsi="Times New Roman" w:eastAsia="仿宋_GB2312" w:cs="宋体"/>
                <w:color w:val="333333"/>
                <w:sz w:val="20"/>
                <w:szCs w:val="20"/>
              </w:rPr>
            </w:pPr>
            <w:r>
              <w:rPr>
                <w:rFonts w:ascii="仿宋_GB2312" w:hAnsi="Times New Roman" w:eastAsia="仿宋_GB2312" w:cs="宋体"/>
                <w:color w:val="333333"/>
                <w:sz w:val="20"/>
                <w:szCs w:val="20"/>
              </w:rPr>
              <w:t>12.</w:t>
            </w:r>
            <w:r>
              <w:rPr>
                <w:rFonts w:hint="eastAsia" w:ascii="仿宋_GB2312" w:hAnsi="Times New Roman" w:eastAsia="仿宋_GB2312" w:cs="宋体"/>
                <w:color w:val="333333"/>
                <w:sz w:val="20"/>
                <w:szCs w:val="20"/>
              </w:rPr>
              <w:t>做好爱国卫生运动、健康中国行动等相关工作的信息公开。</w:t>
            </w:r>
          </w:p>
        </w:tc>
        <w:tc>
          <w:tcPr>
            <w:tcW w:w="3956" w:type="dxa"/>
            <w:tcBorders>
              <w:top w:val="nil"/>
              <w:left w:val="nil"/>
              <w:bottom w:val="single" w:color="000000" w:sz="8" w:space="0"/>
              <w:right w:val="single" w:color="000000" w:sz="8" w:space="0"/>
            </w:tcBorders>
            <w:shd w:val="clear" w:color="auto" w:fill="FFFFFF"/>
            <w:tcMar>
              <w:left w:w="108" w:type="dxa"/>
              <w:right w:w="108" w:type="dxa"/>
            </w:tcMar>
            <w:vAlign w:val="center"/>
          </w:tcPr>
          <w:p>
            <w:pPr>
              <w:widowControl/>
              <w:textAlignment w:val="center"/>
              <w:rPr>
                <w:rFonts w:ascii="仿宋_GB2312" w:hAnsi="Times New Roman" w:eastAsia="仿宋_GB2312" w:cs="宋体"/>
                <w:color w:val="333333"/>
                <w:sz w:val="20"/>
                <w:szCs w:val="20"/>
              </w:rPr>
            </w:pPr>
            <w:r>
              <w:rPr>
                <w:rFonts w:hint="eastAsia" w:ascii="仿宋_GB2312" w:hAnsi="Times New Roman" w:eastAsia="仿宋_GB2312" w:cs="宋体"/>
                <w:color w:val="333333"/>
                <w:sz w:val="20"/>
                <w:szCs w:val="20"/>
              </w:rPr>
              <w:t>大力推动健康科学知识的普及传播，及时发布新冠肺炎病毒疫苗接种工作信息，引导公众提高对构筑免疫屏障重要性的认识，积极接种新冠病毒疫苗，进一步树立健康生活理念，保持疫情防控中形成的良好生活方式，不断提高公民的健康素养。</w:t>
            </w:r>
          </w:p>
        </w:tc>
        <w:tc>
          <w:tcPr>
            <w:tcW w:w="1656" w:type="dxa"/>
            <w:tcBorders>
              <w:top w:val="nil"/>
              <w:left w:val="nil"/>
              <w:bottom w:val="single" w:color="000000" w:sz="8" w:space="0"/>
              <w:right w:val="single" w:color="000000" w:sz="8" w:space="0"/>
            </w:tcBorders>
            <w:shd w:val="clear" w:color="auto" w:fill="FFFFFF"/>
            <w:tcMar>
              <w:left w:w="108" w:type="dxa"/>
              <w:right w:w="108" w:type="dxa"/>
            </w:tcMar>
            <w:vAlign w:val="center"/>
          </w:tcPr>
          <w:p>
            <w:pPr>
              <w:widowControl/>
              <w:jc w:val="center"/>
              <w:textAlignment w:val="center"/>
              <w:rPr>
                <w:rFonts w:ascii="仿宋_GB2312" w:hAnsi="Times New Roman" w:eastAsia="仿宋_GB2312" w:cs="宋体"/>
                <w:color w:val="333333"/>
                <w:sz w:val="20"/>
                <w:szCs w:val="20"/>
              </w:rPr>
            </w:pPr>
            <w:r>
              <w:rPr>
                <w:rFonts w:hint="eastAsia" w:ascii="仿宋_GB2312" w:hAnsi="Times New Roman" w:eastAsia="仿宋_GB2312" w:cs="宋体"/>
                <w:color w:val="333333"/>
                <w:sz w:val="20"/>
                <w:szCs w:val="20"/>
              </w:rPr>
              <w:t>区卫健局</w:t>
            </w:r>
          </w:p>
        </w:tc>
        <w:tc>
          <w:tcPr>
            <w:tcW w:w="2501" w:type="dxa"/>
            <w:tcBorders>
              <w:top w:val="nil"/>
              <w:left w:val="nil"/>
              <w:bottom w:val="single" w:color="000000" w:sz="8" w:space="0"/>
              <w:right w:val="single" w:color="000000" w:sz="8" w:space="0"/>
            </w:tcBorders>
            <w:shd w:val="clear" w:color="auto" w:fill="FFFFFF"/>
            <w:tcMar>
              <w:left w:w="108" w:type="dxa"/>
              <w:right w:w="108" w:type="dxa"/>
            </w:tcMar>
            <w:vAlign w:val="center"/>
          </w:tcPr>
          <w:p>
            <w:pPr>
              <w:widowControl/>
              <w:textAlignment w:val="center"/>
              <w:rPr>
                <w:rFonts w:ascii="仿宋_GB2312" w:hAnsi="Times New Roman" w:eastAsia="仿宋_GB2312" w:cs="宋体"/>
                <w:color w:val="333333"/>
                <w:sz w:val="20"/>
                <w:szCs w:val="20"/>
              </w:rPr>
            </w:pPr>
            <w:r>
              <w:rPr>
                <w:rFonts w:hint="eastAsia" w:ascii="仿宋_GB2312" w:hAnsi="Times New Roman" w:eastAsia="仿宋_GB2312" w:cs="宋体"/>
                <w:color w:val="333333"/>
                <w:sz w:val="20"/>
                <w:szCs w:val="20"/>
              </w:rPr>
              <w:t>各街道，各部门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cantSplit/>
          <w:trHeight w:val="90" w:hRule="atLeast"/>
          <w:jc w:val="center"/>
        </w:trPr>
        <w:tc>
          <w:tcPr>
            <w:tcW w:w="11749" w:type="dxa"/>
            <w:gridSpan w:val="4"/>
            <w:tcBorders>
              <w:top w:val="nil"/>
              <w:left w:val="single" w:color="000000" w:sz="8" w:space="0"/>
              <w:bottom w:val="single" w:color="000000" w:sz="8" w:space="0"/>
              <w:right w:val="single" w:color="000000" w:sz="8" w:space="0"/>
            </w:tcBorders>
            <w:shd w:val="clear" w:color="auto" w:fill="FFFFFF"/>
            <w:tcMar>
              <w:left w:w="108" w:type="dxa"/>
              <w:right w:w="108" w:type="dxa"/>
            </w:tcMar>
            <w:vAlign w:val="center"/>
          </w:tcPr>
          <w:p>
            <w:pPr>
              <w:widowControl/>
              <w:jc w:val="center"/>
              <w:textAlignment w:val="center"/>
              <w:rPr>
                <w:rFonts w:ascii="仿宋_GB2312" w:hAnsi="Times New Roman" w:eastAsia="仿宋_GB2312" w:cs="宋体"/>
                <w:sz w:val="20"/>
                <w:szCs w:val="20"/>
              </w:rPr>
            </w:pPr>
            <w:r>
              <w:rPr>
                <w:rFonts w:hint="eastAsia" w:ascii="仿宋_GB2312" w:hAnsi="Times New Roman" w:eastAsia="仿宋_GB2312" w:cs="宋体"/>
                <w:b/>
                <w:bCs/>
                <w:sz w:val="20"/>
                <w:szCs w:val="20"/>
              </w:rPr>
              <w:t>二、紧扣宏观政策落地见效，进一步深化政务公开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cantSplit/>
          <w:trHeight w:val="450" w:hRule="atLeast"/>
          <w:jc w:val="center"/>
        </w:trPr>
        <w:tc>
          <w:tcPr>
            <w:tcW w:w="11749" w:type="dxa"/>
            <w:gridSpan w:val="4"/>
            <w:tcBorders>
              <w:top w:val="nil"/>
              <w:left w:val="single" w:color="000000" w:sz="8" w:space="0"/>
              <w:bottom w:val="single" w:color="000000" w:sz="8" w:space="0"/>
              <w:right w:val="single" w:color="000000" w:sz="8" w:space="0"/>
            </w:tcBorders>
            <w:shd w:val="clear" w:color="auto" w:fill="FFFFFF"/>
            <w:tcMar>
              <w:left w:w="108" w:type="dxa"/>
              <w:right w:w="108" w:type="dxa"/>
            </w:tcMar>
            <w:vAlign w:val="center"/>
          </w:tcPr>
          <w:p>
            <w:pPr>
              <w:widowControl/>
              <w:spacing w:line="280" w:lineRule="atLeast"/>
              <w:textAlignment w:val="center"/>
              <w:rPr>
                <w:rFonts w:ascii="仿宋_GB2312" w:hAnsi="Times New Roman" w:eastAsia="仿宋_GB2312" w:cs="宋体"/>
                <w:sz w:val="20"/>
                <w:szCs w:val="20"/>
              </w:rPr>
            </w:pPr>
            <w:r>
              <w:rPr>
                <w:rFonts w:hint="eastAsia" w:ascii="仿宋_GB2312" w:hAnsi="Times New Roman" w:eastAsia="仿宋_GB2312" w:cs="宋体"/>
                <w:color w:val="333333"/>
                <w:sz w:val="20"/>
                <w:szCs w:val="20"/>
              </w:rPr>
              <w:t>（一）持续加强重大政策发布解读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cantSplit/>
          <w:trHeight w:val="4919" w:hRule="atLeast"/>
          <w:jc w:val="center"/>
        </w:trPr>
        <w:tc>
          <w:tcPr>
            <w:tcW w:w="3636" w:type="dxa"/>
            <w:tcBorders>
              <w:top w:val="nil"/>
              <w:left w:val="single" w:color="000000" w:sz="8" w:space="0"/>
              <w:bottom w:val="single" w:color="000000" w:sz="8" w:space="0"/>
              <w:right w:val="single" w:color="000000" w:sz="8" w:space="0"/>
            </w:tcBorders>
            <w:shd w:val="clear" w:color="auto" w:fill="FFFFFF"/>
            <w:tcMar>
              <w:left w:w="108" w:type="dxa"/>
              <w:right w:w="108" w:type="dxa"/>
            </w:tcMar>
            <w:vAlign w:val="center"/>
          </w:tcPr>
          <w:p>
            <w:pPr>
              <w:widowControl/>
              <w:spacing w:line="320" w:lineRule="exact"/>
              <w:textAlignment w:val="center"/>
              <w:rPr>
                <w:rFonts w:ascii="仿宋_GB2312" w:hAnsi="Times New Roman" w:eastAsia="仿宋_GB2312" w:cs="宋体"/>
                <w:color w:val="333333"/>
                <w:sz w:val="20"/>
                <w:szCs w:val="20"/>
              </w:rPr>
            </w:pPr>
            <w:r>
              <w:rPr>
                <w:rFonts w:ascii="仿宋_GB2312" w:hAnsi="Times New Roman" w:eastAsia="仿宋_GB2312" w:cs="宋体"/>
                <w:color w:val="333333"/>
                <w:sz w:val="20"/>
                <w:szCs w:val="20"/>
              </w:rPr>
              <w:t>13.</w:t>
            </w:r>
            <w:r>
              <w:rPr>
                <w:rFonts w:hint="eastAsia" w:ascii="仿宋_GB2312" w:hAnsi="Times New Roman" w:eastAsia="仿宋_GB2312" w:cs="宋体"/>
                <w:color w:val="333333"/>
                <w:sz w:val="20"/>
                <w:szCs w:val="20"/>
              </w:rPr>
              <w:t>以扎实做好“六稳”工作、全面落实“六保”任务以及统筹抓好“五促一保一防一控”工作为重点，做好政策解读发布工作。</w:t>
            </w:r>
          </w:p>
        </w:tc>
        <w:tc>
          <w:tcPr>
            <w:tcW w:w="3956" w:type="dxa"/>
            <w:tcBorders>
              <w:top w:val="single" w:color="000000" w:sz="8" w:space="0"/>
              <w:left w:val="nil"/>
              <w:bottom w:val="single" w:color="000000" w:sz="8" w:space="0"/>
              <w:right w:val="single" w:color="000000" w:sz="8" w:space="0"/>
            </w:tcBorders>
            <w:shd w:val="clear" w:color="auto" w:fill="FFFFFF"/>
            <w:tcMar>
              <w:left w:w="108" w:type="dxa"/>
              <w:right w:w="108" w:type="dxa"/>
            </w:tcMar>
            <w:vAlign w:val="center"/>
          </w:tcPr>
          <w:p>
            <w:pPr>
              <w:widowControl/>
              <w:spacing w:line="320" w:lineRule="exact"/>
              <w:textAlignment w:val="center"/>
              <w:rPr>
                <w:rFonts w:ascii="仿宋_GB2312" w:hAnsi="Times New Roman" w:eastAsia="仿宋_GB2312" w:cs="宋体"/>
                <w:color w:val="333333"/>
                <w:sz w:val="20"/>
                <w:szCs w:val="20"/>
              </w:rPr>
            </w:pPr>
            <w:r>
              <w:rPr>
                <w:rFonts w:hint="eastAsia" w:ascii="仿宋_GB2312" w:hAnsi="Times New Roman" w:eastAsia="仿宋_GB2312" w:cs="宋体"/>
                <w:color w:val="333333"/>
                <w:sz w:val="20"/>
                <w:szCs w:val="20"/>
              </w:rPr>
              <w:t>推动政府工作报告确定的重点工作落地实施，及时发布保持宏观政策连续性稳定性可持续性、促进经济运行在合理区间，深入推进重点领域改革、更大激发市场主体活力，依靠创新推动实体经济高质量发展、培育壮大新动能，坚持扩大内需战略基点、充分挖掘国内市场潜力，全面实施乡村振兴战略、推进城市均衡发展，实行高水平对外开放，深化两岸融合，加强污染防治和生态建设，提高民生保障水平，加强和改进社会治理，以及促生产、促消费、促项目建设、促外经贸、促旅游、保基本、防风险、控疫情等方面出台的重大政策，及时发布权威信息，深入开展解读。</w:t>
            </w:r>
          </w:p>
        </w:tc>
        <w:tc>
          <w:tcPr>
            <w:tcW w:w="1656" w:type="dxa"/>
            <w:tcBorders>
              <w:top w:val="single" w:color="000000" w:sz="8" w:space="0"/>
              <w:left w:val="nil"/>
              <w:bottom w:val="single" w:color="000000" w:sz="8" w:space="0"/>
              <w:right w:val="single" w:color="000000" w:sz="8" w:space="0"/>
            </w:tcBorders>
            <w:shd w:val="clear" w:color="auto" w:fill="FFFFFF"/>
            <w:tcMar>
              <w:left w:w="108" w:type="dxa"/>
              <w:right w:w="108" w:type="dxa"/>
            </w:tcMar>
            <w:vAlign w:val="center"/>
          </w:tcPr>
          <w:p>
            <w:pPr>
              <w:widowControl/>
              <w:spacing w:line="320" w:lineRule="exact"/>
              <w:jc w:val="center"/>
              <w:rPr>
                <w:rFonts w:ascii="仿宋_GB2312" w:hAnsi="Times New Roman" w:eastAsia="仿宋_GB2312" w:cs="宋体"/>
                <w:color w:val="333333"/>
                <w:sz w:val="20"/>
                <w:szCs w:val="20"/>
              </w:rPr>
            </w:pPr>
          </w:p>
        </w:tc>
        <w:tc>
          <w:tcPr>
            <w:tcW w:w="2501" w:type="dxa"/>
            <w:tcBorders>
              <w:top w:val="single" w:color="000000" w:sz="8" w:space="0"/>
              <w:left w:val="nil"/>
              <w:bottom w:val="single" w:color="000000" w:sz="8" w:space="0"/>
              <w:right w:val="single" w:color="000000" w:sz="8" w:space="0"/>
            </w:tcBorders>
            <w:shd w:val="clear" w:color="auto" w:fill="FFFFFF"/>
            <w:tcMar>
              <w:left w:w="108" w:type="dxa"/>
              <w:right w:w="108" w:type="dxa"/>
            </w:tcMar>
            <w:vAlign w:val="center"/>
          </w:tcPr>
          <w:p>
            <w:pPr>
              <w:widowControl/>
              <w:spacing w:line="320" w:lineRule="exact"/>
              <w:textAlignment w:val="center"/>
              <w:rPr>
                <w:rFonts w:ascii="仿宋_GB2312" w:hAnsi="Times New Roman" w:eastAsia="仿宋_GB2312" w:cs="宋体"/>
                <w:color w:val="333333"/>
                <w:sz w:val="20"/>
                <w:szCs w:val="20"/>
              </w:rPr>
            </w:pPr>
            <w:r>
              <w:rPr>
                <w:rFonts w:hint="eastAsia" w:ascii="仿宋_GB2312" w:hAnsi="Times New Roman" w:eastAsia="仿宋_GB2312" w:cs="宋体"/>
                <w:color w:val="333333"/>
                <w:sz w:val="20"/>
                <w:szCs w:val="20"/>
              </w:rPr>
              <w:t>各街道，各部门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cantSplit/>
          <w:trHeight w:val="6475" w:hRule="atLeast"/>
          <w:jc w:val="center"/>
        </w:trPr>
        <w:tc>
          <w:tcPr>
            <w:tcW w:w="3636" w:type="dxa"/>
            <w:tcBorders>
              <w:top w:val="nil"/>
              <w:left w:val="single" w:color="000000" w:sz="8" w:space="0"/>
              <w:bottom w:val="single" w:color="000000" w:sz="8" w:space="0"/>
              <w:right w:val="single" w:color="000000" w:sz="8" w:space="0"/>
            </w:tcBorders>
            <w:shd w:val="clear" w:color="auto" w:fill="FFFFFF"/>
            <w:tcMar>
              <w:left w:w="108" w:type="dxa"/>
              <w:right w:w="108" w:type="dxa"/>
            </w:tcMar>
            <w:vAlign w:val="center"/>
          </w:tcPr>
          <w:p>
            <w:pPr>
              <w:widowControl/>
              <w:textAlignment w:val="center"/>
              <w:rPr>
                <w:rFonts w:ascii="仿宋_GB2312" w:hAnsi="Times New Roman" w:eastAsia="仿宋_GB2312" w:cs="宋体"/>
                <w:color w:val="333333"/>
                <w:sz w:val="20"/>
                <w:szCs w:val="20"/>
              </w:rPr>
            </w:pPr>
            <w:r>
              <w:rPr>
                <w:rFonts w:ascii="仿宋_GB2312" w:hAnsi="Times New Roman" w:eastAsia="仿宋_GB2312" w:cs="宋体"/>
                <w:color w:val="333333"/>
                <w:sz w:val="20"/>
                <w:szCs w:val="20"/>
              </w:rPr>
              <w:t>14.</w:t>
            </w:r>
            <w:r>
              <w:rPr>
                <w:rFonts w:hint="eastAsia" w:ascii="仿宋_GB2312" w:hAnsi="Times New Roman" w:eastAsia="仿宋_GB2312" w:cs="宋体"/>
                <w:color w:val="333333"/>
                <w:sz w:val="20"/>
                <w:szCs w:val="20"/>
              </w:rPr>
              <w:t>做好政府门户网站政策文件解读发布工作。</w:t>
            </w:r>
          </w:p>
        </w:tc>
        <w:tc>
          <w:tcPr>
            <w:tcW w:w="3956" w:type="dxa"/>
            <w:tcBorders>
              <w:top w:val="nil"/>
              <w:left w:val="nil"/>
              <w:bottom w:val="single" w:color="000000" w:sz="8" w:space="0"/>
              <w:right w:val="single" w:color="000000" w:sz="8" w:space="0"/>
            </w:tcBorders>
            <w:shd w:val="clear" w:color="auto" w:fill="FFFFFF"/>
            <w:tcMar>
              <w:left w:w="108" w:type="dxa"/>
              <w:right w:w="108" w:type="dxa"/>
            </w:tcMar>
            <w:vAlign w:val="center"/>
          </w:tcPr>
          <w:p>
            <w:pPr>
              <w:widowControl/>
              <w:spacing w:line="300" w:lineRule="atLeast"/>
              <w:textAlignment w:val="center"/>
              <w:rPr>
                <w:rFonts w:ascii="仿宋_GB2312" w:hAnsi="Times New Roman" w:eastAsia="仿宋_GB2312" w:cs="宋体"/>
                <w:color w:val="333333"/>
                <w:sz w:val="20"/>
                <w:szCs w:val="20"/>
              </w:rPr>
            </w:pPr>
            <w:r>
              <w:rPr>
                <w:rFonts w:hint="eastAsia" w:ascii="仿宋_GB2312" w:hAnsi="Times New Roman" w:eastAsia="仿宋_GB2312" w:cs="宋体"/>
                <w:color w:val="333333"/>
                <w:sz w:val="20"/>
                <w:szCs w:val="20"/>
              </w:rPr>
              <w:t>按照《福建省人民政府办公厅关于进一步加强省政府门户网站政策文件解读发布工作的通知》（闽政办函〔</w:t>
            </w:r>
            <w:r>
              <w:rPr>
                <w:rFonts w:ascii="仿宋_GB2312" w:hAnsi="Times New Roman" w:eastAsia="仿宋_GB2312" w:cs="宋体"/>
                <w:color w:val="333333"/>
                <w:sz w:val="20"/>
                <w:szCs w:val="20"/>
              </w:rPr>
              <w:t>2021</w:t>
            </w:r>
            <w:r>
              <w:rPr>
                <w:rFonts w:hint="eastAsia" w:ascii="仿宋_GB2312" w:hAnsi="Times New Roman" w:eastAsia="仿宋_GB2312" w:cs="宋体"/>
                <w:color w:val="333333"/>
                <w:sz w:val="20"/>
                <w:szCs w:val="20"/>
              </w:rPr>
              <w:t>〕</w:t>
            </w:r>
            <w:r>
              <w:rPr>
                <w:rFonts w:ascii="仿宋_GB2312" w:hAnsi="Times New Roman" w:eastAsia="仿宋_GB2312" w:cs="宋体"/>
                <w:color w:val="333333"/>
                <w:sz w:val="20"/>
                <w:szCs w:val="20"/>
              </w:rPr>
              <w:t>20</w:t>
            </w:r>
            <w:r>
              <w:rPr>
                <w:rFonts w:hint="eastAsia" w:ascii="仿宋_GB2312" w:hAnsi="Times New Roman" w:eastAsia="仿宋_GB2312" w:cs="宋体"/>
                <w:color w:val="333333"/>
                <w:sz w:val="20"/>
                <w:szCs w:val="20"/>
              </w:rPr>
              <w:t>号）和《厦门市人民政府办公厅关于进一步加强市政府门户网站政策文件解读发布工作的通知》（厦府办〔</w:t>
            </w:r>
            <w:r>
              <w:rPr>
                <w:rFonts w:ascii="仿宋_GB2312" w:hAnsi="Times New Roman" w:eastAsia="仿宋_GB2312" w:cs="宋体"/>
                <w:color w:val="333333"/>
                <w:sz w:val="20"/>
                <w:szCs w:val="20"/>
              </w:rPr>
              <w:t>2021</w:t>
            </w:r>
            <w:r>
              <w:rPr>
                <w:rFonts w:hint="eastAsia" w:ascii="仿宋_GB2312" w:hAnsi="Times New Roman" w:eastAsia="仿宋_GB2312" w:cs="宋体"/>
                <w:color w:val="333333"/>
                <w:sz w:val="20"/>
                <w:szCs w:val="20"/>
              </w:rPr>
              <w:t>〕</w:t>
            </w:r>
            <w:r>
              <w:rPr>
                <w:rFonts w:ascii="仿宋_GB2312" w:hAnsi="Times New Roman" w:eastAsia="仿宋_GB2312" w:cs="宋体"/>
                <w:color w:val="333333"/>
                <w:sz w:val="20"/>
                <w:szCs w:val="20"/>
              </w:rPr>
              <w:t>22</w:t>
            </w:r>
            <w:r>
              <w:rPr>
                <w:rFonts w:hint="eastAsia" w:ascii="仿宋_GB2312" w:hAnsi="Times New Roman" w:eastAsia="仿宋_GB2312" w:cs="宋体"/>
                <w:color w:val="333333"/>
                <w:sz w:val="20"/>
                <w:szCs w:val="20"/>
              </w:rPr>
              <w:t>号）《厦门市思明区人民政府办公室关于进一步加强区政府门户网站政策文件解读发布工作的通知》（厦思政办〔</w:t>
            </w:r>
            <w:r>
              <w:rPr>
                <w:rFonts w:ascii="仿宋_GB2312" w:hAnsi="Times New Roman" w:eastAsia="仿宋_GB2312" w:cs="宋体"/>
                <w:color w:val="333333"/>
                <w:sz w:val="20"/>
                <w:szCs w:val="20"/>
              </w:rPr>
              <w:t>2021</w:t>
            </w:r>
            <w:r>
              <w:rPr>
                <w:rFonts w:hint="eastAsia" w:ascii="仿宋_GB2312" w:hAnsi="Times New Roman" w:eastAsia="仿宋_GB2312" w:cs="宋体"/>
                <w:color w:val="333333"/>
                <w:sz w:val="20"/>
                <w:szCs w:val="20"/>
              </w:rPr>
              <w:t>〕</w:t>
            </w:r>
            <w:r>
              <w:rPr>
                <w:rFonts w:ascii="仿宋_GB2312" w:hAnsi="Times New Roman" w:eastAsia="仿宋_GB2312" w:cs="宋体"/>
                <w:color w:val="333333"/>
                <w:sz w:val="20"/>
                <w:szCs w:val="20"/>
              </w:rPr>
              <w:t>19</w:t>
            </w:r>
            <w:r>
              <w:rPr>
                <w:rFonts w:hint="eastAsia" w:ascii="仿宋_GB2312" w:hAnsi="Times New Roman" w:eastAsia="仿宋_GB2312" w:cs="宋体"/>
                <w:color w:val="333333"/>
                <w:sz w:val="20"/>
                <w:szCs w:val="20"/>
              </w:rPr>
              <w:t>号）要求，明确解读责任，落实解读机制，对政策文件做到应解读、尽解读。解读方案、解读材料与政策文件同步组织、同步审签、同步部署。责任部门在向区政府报送政策文件时，同步报送经本部门主要负责人审定的解读方案。未附解读方案的，区政府办公室予以退文。政策文件提交区政府常务会议研究的，解读材料作为参阅材料一并提交上会。政策文件与解读材料同时送签，同步在区政府门户网站发布。</w:t>
            </w:r>
          </w:p>
        </w:tc>
        <w:tc>
          <w:tcPr>
            <w:tcW w:w="1656" w:type="dxa"/>
            <w:tcBorders>
              <w:top w:val="nil"/>
              <w:left w:val="nil"/>
              <w:bottom w:val="single" w:color="000000" w:sz="8" w:space="0"/>
              <w:right w:val="single" w:color="000000" w:sz="8" w:space="0"/>
            </w:tcBorders>
            <w:shd w:val="clear" w:color="auto" w:fill="FFFFFF"/>
            <w:tcMar>
              <w:left w:w="108" w:type="dxa"/>
              <w:right w:w="108" w:type="dxa"/>
            </w:tcMar>
            <w:vAlign w:val="center"/>
          </w:tcPr>
          <w:p>
            <w:pPr>
              <w:widowControl/>
              <w:jc w:val="center"/>
              <w:rPr>
                <w:rFonts w:ascii="仿宋_GB2312" w:hAnsi="Times New Roman" w:eastAsia="仿宋_GB2312" w:cs="宋体"/>
                <w:color w:val="333333"/>
                <w:sz w:val="20"/>
                <w:szCs w:val="20"/>
              </w:rPr>
            </w:pPr>
          </w:p>
        </w:tc>
        <w:tc>
          <w:tcPr>
            <w:tcW w:w="2501" w:type="dxa"/>
            <w:tcBorders>
              <w:top w:val="nil"/>
              <w:left w:val="nil"/>
              <w:bottom w:val="single" w:color="000000" w:sz="8" w:space="0"/>
              <w:right w:val="single" w:color="000000" w:sz="8" w:space="0"/>
            </w:tcBorders>
            <w:shd w:val="clear" w:color="auto" w:fill="FFFFFF"/>
            <w:tcMar>
              <w:left w:w="108" w:type="dxa"/>
              <w:right w:w="108" w:type="dxa"/>
            </w:tcMar>
            <w:vAlign w:val="center"/>
          </w:tcPr>
          <w:p>
            <w:pPr>
              <w:widowControl/>
              <w:textAlignment w:val="center"/>
              <w:rPr>
                <w:rFonts w:ascii="仿宋_GB2312" w:hAnsi="Times New Roman" w:eastAsia="仿宋_GB2312" w:cs="宋体"/>
                <w:color w:val="333333"/>
                <w:sz w:val="20"/>
                <w:szCs w:val="20"/>
              </w:rPr>
            </w:pPr>
            <w:r>
              <w:rPr>
                <w:rFonts w:hint="eastAsia" w:ascii="仿宋_GB2312" w:hAnsi="Times New Roman" w:eastAsia="仿宋_GB2312" w:cs="宋体"/>
                <w:color w:val="333333"/>
                <w:sz w:val="20"/>
                <w:szCs w:val="20"/>
              </w:rPr>
              <w:t>各街道，各部门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cantSplit/>
          <w:trHeight w:val="567" w:hRule="atLeast"/>
          <w:jc w:val="center"/>
        </w:trPr>
        <w:tc>
          <w:tcPr>
            <w:tcW w:w="11749" w:type="dxa"/>
            <w:gridSpan w:val="4"/>
            <w:tcBorders>
              <w:top w:val="nil"/>
              <w:left w:val="single" w:color="000000" w:sz="8" w:space="0"/>
              <w:bottom w:val="single" w:color="000000" w:sz="8" w:space="0"/>
              <w:right w:val="single" w:color="000000" w:sz="8" w:space="0"/>
            </w:tcBorders>
            <w:shd w:val="clear" w:color="auto" w:fill="FFFFFF"/>
            <w:tcMar>
              <w:left w:w="108" w:type="dxa"/>
              <w:right w:w="108" w:type="dxa"/>
            </w:tcMar>
            <w:vAlign w:val="center"/>
          </w:tcPr>
          <w:p>
            <w:pPr>
              <w:widowControl/>
              <w:textAlignment w:val="center"/>
              <w:rPr>
                <w:rFonts w:ascii="仿宋_GB2312" w:hAnsi="Times New Roman" w:eastAsia="仿宋_GB2312" w:cs="宋体"/>
                <w:color w:val="333333"/>
                <w:sz w:val="20"/>
                <w:szCs w:val="20"/>
              </w:rPr>
            </w:pPr>
            <w:r>
              <w:rPr>
                <w:rFonts w:hint="eastAsia" w:ascii="仿宋_GB2312" w:hAnsi="Times New Roman" w:eastAsia="仿宋_GB2312" w:cs="宋体"/>
                <w:color w:val="333333"/>
                <w:sz w:val="20"/>
                <w:szCs w:val="20"/>
              </w:rPr>
              <w:t>（二）不断改进政策解读工作方式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cantSplit/>
          <w:trHeight w:val="2889" w:hRule="atLeast"/>
          <w:jc w:val="center"/>
        </w:trPr>
        <w:tc>
          <w:tcPr>
            <w:tcW w:w="3636" w:type="dxa"/>
            <w:tcBorders>
              <w:top w:val="nil"/>
              <w:left w:val="single" w:color="000000" w:sz="8" w:space="0"/>
              <w:bottom w:val="single" w:color="000000" w:sz="8" w:space="0"/>
              <w:right w:val="single" w:color="000000" w:sz="8" w:space="0"/>
            </w:tcBorders>
            <w:shd w:val="clear" w:color="auto" w:fill="FFFFFF"/>
            <w:tcMar>
              <w:left w:w="108" w:type="dxa"/>
              <w:right w:w="108" w:type="dxa"/>
            </w:tcMar>
            <w:vAlign w:val="center"/>
          </w:tcPr>
          <w:p>
            <w:pPr>
              <w:widowControl/>
              <w:textAlignment w:val="center"/>
              <w:rPr>
                <w:rFonts w:ascii="仿宋_GB2312" w:hAnsi="Times New Roman" w:eastAsia="仿宋_GB2312" w:cs="宋体"/>
                <w:color w:val="333333"/>
                <w:sz w:val="20"/>
                <w:szCs w:val="20"/>
              </w:rPr>
            </w:pPr>
            <w:r>
              <w:rPr>
                <w:rFonts w:ascii="仿宋_GB2312" w:hAnsi="Times New Roman" w:eastAsia="仿宋_GB2312" w:cs="宋体"/>
                <w:color w:val="333333"/>
                <w:sz w:val="20"/>
                <w:szCs w:val="20"/>
              </w:rPr>
              <w:t>15.</w:t>
            </w:r>
            <w:r>
              <w:rPr>
                <w:rFonts w:hint="eastAsia" w:ascii="仿宋_GB2312" w:hAnsi="Times New Roman" w:eastAsia="仿宋_GB2312" w:cs="宋体"/>
                <w:color w:val="333333"/>
                <w:sz w:val="20"/>
                <w:szCs w:val="20"/>
              </w:rPr>
              <w:t>加强政策咨询服务。</w:t>
            </w:r>
          </w:p>
        </w:tc>
        <w:tc>
          <w:tcPr>
            <w:tcW w:w="3956" w:type="dxa"/>
            <w:tcBorders>
              <w:top w:val="single" w:color="000000" w:sz="8" w:space="0"/>
              <w:left w:val="nil"/>
              <w:bottom w:val="single" w:color="000000" w:sz="8" w:space="0"/>
              <w:right w:val="single" w:color="000000" w:sz="8" w:space="0"/>
            </w:tcBorders>
            <w:shd w:val="clear" w:color="auto" w:fill="FFFFFF"/>
            <w:tcMar>
              <w:left w:w="108" w:type="dxa"/>
              <w:right w:w="108" w:type="dxa"/>
            </w:tcMar>
            <w:vAlign w:val="center"/>
          </w:tcPr>
          <w:p>
            <w:pPr>
              <w:widowControl/>
              <w:spacing w:line="320" w:lineRule="atLeast"/>
              <w:textAlignment w:val="center"/>
              <w:rPr>
                <w:rFonts w:ascii="仿宋_GB2312" w:hAnsi="Times New Roman" w:eastAsia="仿宋_GB2312" w:cs="宋体"/>
                <w:color w:val="333333"/>
                <w:sz w:val="20"/>
                <w:szCs w:val="20"/>
              </w:rPr>
            </w:pPr>
            <w:r>
              <w:rPr>
                <w:rFonts w:hint="eastAsia" w:ascii="仿宋_GB2312" w:hAnsi="Times New Roman" w:eastAsia="仿宋_GB2312" w:cs="宋体"/>
                <w:color w:val="333333"/>
                <w:sz w:val="20"/>
                <w:szCs w:val="20"/>
              </w:rPr>
              <w:t>聚焦民生领域重点问题，依托政府网站、“政企直通车”、</w:t>
            </w:r>
            <w:r>
              <w:rPr>
                <w:rFonts w:ascii="仿宋_GB2312" w:hAnsi="Times New Roman" w:eastAsia="仿宋_GB2312" w:cs="宋体"/>
                <w:color w:val="333333"/>
                <w:sz w:val="20"/>
                <w:szCs w:val="20"/>
              </w:rPr>
              <w:t>12345</w:t>
            </w:r>
            <w:r>
              <w:rPr>
                <w:rFonts w:hint="eastAsia" w:ascii="仿宋_GB2312" w:hAnsi="Times New Roman" w:eastAsia="仿宋_GB2312" w:cs="宋体"/>
                <w:color w:val="333333"/>
                <w:sz w:val="20"/>
                <w:szCs w:val="20"/>
              </w:rPr>
              <w:t>政务服务热线、政务咨询投诉举报平台和线下实体服务大厅政策咨询综合服务窗口等政务服务场所，通过民生政策宣讲服务、网络课堂、在线知识竞赛、公益广告等线上线下多种方式，开展民生政策宣讲和咨询服务，积极解答政策执行机关和企业、群众的咨询。</w:t>
            </w:r>
          </w:p>
        </w:tc>
        <w:tc>
          <w:tcPr>
            <w:tcW w:w="1656" w:type="dxa"/>
            <w:tcBorders>
              <w:top w:val="single" w:color="000000" w:sz="8" w:space="0"/>
              <w:left w:val="nil"/>
              <w:bottom w:val="single" w:color="000000" w:sz="8" w:space="0"/>
              <w:right w:val="single" w:color="000000" w:sz="8" w:space="0"/>
            </w:tcBorders>
            <w:shd w:val="clear" w:color="auto" w:fill="FFFFFF"/>
            <w:tcMar>
              <w:left w:w="108" w:type="dxa"/>
              <w:right w:w="108" w:type="dxa"/>
            </w:tcMar>
            <w:vAlign w:val="center"/>
          </w:tcPr>
          <w:p>
            <w:pPr>
              <w:widowControl/>
              <w:jc w:val="center"/>
              <w:rPr>
                <w:rFonts w:ascii="仿宋_GB2312" w:hAnsi="Times New Roman" w:eastAsia="仿宋_GB2312" w:cs="宋体"/>
                <w:color w:val="333333"/>
                <w:sz w:val="20"/>
                <w:szCs w:val="20"/>
              </w:rPr>
            </w:pPr>
          </w:p>
        </w:tc>
        <w:tc>
          <w:tcPr>
            <w:tcW w:w="2501" w:type="dxa"/>
            <w:tcBorders>
              <w:top w:val="single" w:color="000000" w:sz="8" w:space="0"/>
              <w:left w:val="nil"/>
              <w:bottom w:val="single" w:color="000000" w:sz="8" w:space="0"/>
              <w:right w:val="single" w:color="000000" w:sz="8" w:space="0"/>
            </w:tcBorders>
            <w:shd w:val="clear" w:color="auto" w:fill="FFFFFF"/>
            <w:tcMar>
              <w:left w:w="108" w:type="dxa"/>
              <w:right w:w="108" w:type="dxa"/>
            </w:tcMar>
            <w:vAlign w:val="center"/>
          </w:tcPr>
          <w:p>
            <w:pPr>
              <w:widowControl/>
              <w:textAlignment w:val="center"/>
              <w:rPr>
                <w:rFonts w:ascii="仿宋_GB2312" w:hAnsi="Times New Roman" w:eastAsia="仿宋_GB2312" w:cs="宋体"/>
                <w:color w:val="333333"/>
                <w:sz w:val="20"/>
                <w:szCs w:val="20"/>
              </w:rPr>
            </w:pPr>
            <w:r>
              <w:rPr>
                <w:rFonts w:hint="eastAsia" w:ascii="仿宋_GB2312" w:hAnsi="Times New Roman" w:eastAsia="仿宋_GB2312" w:cs="宋体"/>
                <w:color w:val="333333"/>
                <w:sz w:val="20"/>
                <w:szCs w:val="20"/>
              </w:rPr>
              <w:t>各街道，各部门，区政务信息中心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cantSplit/>
          <w:trHeight w:val="2206" w:hRule="atLeast"/>
          <w:jc w:val="center"/>
        </w:trPr>
        <w:tc>
          <w:tcPr>
            <w:tcW w:w="3636" w:type="dxa"/>
            <w:tcBorders>
              <w:top w:val="nil"/>
              <w:left w:val="single" w:color="000000" w:sz="8" w:space="0"/>
              <w:bottom w:val="single" w:color="000000" w:sz="8" w:space="0"/>
              <w:right w:val="single" w:color="000000" w:sz="8" w:space="0"/>
            </w:tcBorders>
            <w:shd w:val="clear" w:color="auto" w:fill="FFFFFF"/>
            <w:tcMar>
              <w:left w:w="108" w:type="dxa"/>
              <w:right w:w="108" w:type="dxa"/>
            </w:tcMar>
            <w:vAlign w:val="center"/>
          </w:tcPr>
          <w:p>
            <w:pPr>
              <w:widowControl/>
              <w:textAlignment w:val="center"/>
              <w:rPr>
                <w:rFonts w:ascii="仿宋_GB2312" w:hAnsi="Times New Roman" w:eastAsia="仿宋_GB2312" w:cs="宋体"/>
                <w:color w:val="333333"/>
                <w:sz w:val="20"/>
                <w:szCs w:val="20"/>
              </w:rPr>
            </w:pPr>
            <w:r>
              <w:rPr>
                <w:rFonts w:ascii="仿宋_GB2312" w:hAnsi="Times New Roman" w:eastAsia="仿宋_GB2312" w:cs="宋体"/>
                <w:color w:val="333333"/>
                <w:sz w:val="20"/>
                <w:szCs w:val="20"/>
              </w:rPr>
              <w:t>16.</w:t>
            </w:r>
            <w:r>
              <w:rPr>
                <w:rFonts w:hint="eastAsia" w:ascii="仿宋_GB2312" w:hAnsi="Times New Roman" w:eastAsia="仿宋_GB2312" w:cs="宋体"/>
                <w:color w:val="333333"/>
                <w:sz w:val="20"/>
                <w:szCs w:val="20"/>
              </w:rPr>
              <w:t>突出便民实用，创新政策解读方式。</w:t>
            </w:r>
          </w:p>
        </w:tc>
        <w:tc>
          <w:tcPr>
            <w:tcW w:w="3956" w:type="dxa"/>
            <w:tcBorders>
              <w:top w:val="nil"/>
              <w:left w:val="nil"/>
              <w:bottom w:val="single" w:color="000000" w:sz="8" w:space="0"/>
              <w:right w:val="single" w:color="000000" w:sz="8" w:space="0"/>
            </w:tcBorders>
            <w:shd w:val="clear" w:color="auto" w:fill="FFFFFF"/>
            <w:tcMar>
              <w:left w:w="108" w:type="dxa"/>
              <w:right w:w="108" w:type="dxa"/>
            </w:tcMar>
            <w:vAlign w:val="center"/>
          </w:tcPr>
          <w:p>
            <w:pPr>
              <w:widowControl/>
              <w:spacing w:line="320" w:lineRule="atLeast"/>
              <w:textAlignment w:val="center"/>
              <w:rPr>
                <w:rFonts w:ascii="仿宋_GB2312" w:hAnsi="Times New Roman" w:eastAsia="仿宋_GB2312" w:cs="宋体"/>
                <w:color w:val="333333"/>
                <w:sz w:val="20"/>
                <w:szCs w:val="20"/>
              </w:rPr>
            </w:pPr>
            <w:r>
              <w:rPr>
                <w:rFonts w:hint="eastAsia" w:ascii="仿宋_GB2312" w:hAnsi="Times New Roman" w:eastAsia="仿宋_GB2312" w:cs="宋体"/>
                <w:color w:val="333333"/>
                <w:sz w:val="20"/>
                <w:szCs w:val="20"/>
              </w:rPr>
              <w:t>建立政策解读向下传递机制，加强对基层的培训指导，确保基层工作人员看得到、会执行、讲得好。善于运用在线访谈、图表、动画、音频、视频、</w:t>
            </w:r>
            <w:r>
              <w:rPr>
                <w:rFonts w:ascii="仿宋_GB2312" w:hAnsi="Times New Roman" w:eastAsia="仿宋_GB2312" w:cs="宋体"/>
                <w:color w:val="333333"/>
                <w:sz w:val="20"/>
                <w:szCs w:val="20"/>
              </w:rPr>
              <w:t>H5</w:t>
            </w:r>
            <w:r>
              <w:rPr>
                <w:rFonts w:hint="eastAsia" w:ascii="仿宋_GB2312" w:hAnsi="Times New Roman" w:eastAsia="仿宋_GB2312" w:cs="宋体"/>
                <w:color w:val="333333"/>
                <w:sz w:val="20"/>
                <w:szCs w:val="20"/>
              </w:rPr>
              <w:t>等形式，不断提升解读效果，使各项政策更接地气、更合民意。</w:t>
            </w:r>
          </w:p>
        </w:tc>
        <w:tc>
          <w:tcPr>
            <w:tcW w:w="1656" w:type="dxa"/>
            <w:tcBorders>
              <w:top w:val="nil"/>
              <w:left w:val="nil"/>
              <w:bottom w:val="single" w:color="000000" w:sz="8" w:space="0"/>
              <w:right w:val="single" w:color="000000" w:sz="8" w:space="0"/>
            </w:tcBorders>
            <w:shd w:val="clear" w:color="auto" w:fill="FFFFFF"/>
            <w:tcMar>
              <w:left w:w="108" w:type="dxa"/>
              <w:right w:w="108" w:type="dxa"/>
            </w:tcMar>
            <w:vAlign w:val="center"/>
          </w:tcPr>
          <w:p>
            <w:pPr>
              <w:widowControl/>
              <w:jc w:val="center"/>
              <w:rPr>
                <w:rFonts w:ascii="仿宋_GB2312" w:hAnsi="Times New Roman" w:eastAsia="仿宋_GB2312" w:cs="宋体"/>
                <w:color w:val="333333"/>
                <w:sz w:val="20"/>
                <w:szCs w:val="20"/>
              </w:rPr>
            </w:pPr>
          </w:p>
        </w:tc>
        <w:tc>
          <w:tcPr>
            <w:tcW w:w="2501" w:type="dxa"/>
            <w:tcBorders>
              <w:top w:val="nil"/>
              <w:left w:val="nil"/>
              <w:bottom w:val="single" w:color="000000" w:sz="8" w:space="0"/>
              <w:right w:val="single" w:color="000000" w:sz="8" w:space="0"/>
            </w:tcBorders>
            <w:shd w:val="clear" w:color="auto" w:fill="FFFFFF"/>
            <w:tcMar>
              <w:left w:w="108" w:type="dxa"/>
              <w:right w:w="108" w:type="dxa"/>
            </w:tcMar>
            <w:vAlign w:val="center"/>
          </w:tcPr>
          <w:p>
            <w:pPr>
              <w:widowControl/>
              <w:textAlignment w:val="center"/>
              <w:rPr>
                <w:rFonts w:ascii="仿宋_GB2312" w:hAnsi="Times New Roman" w:eastAsia="仿宋_GB2312" w:cs="宋体"/>
                <w:color w:val="333333"/>
                <w:sz w:val="20"/>
                <w:szCs w:val="20"/>
              </w:rPr>
            </w:pPr>
            <w:r>
              <w:rPr>
                <w:rFonts w:hint="eastAsia" w:ascii="仿宋_GB2312" w:hAnsi="Times New Roman" w:eastAsia="仿宋_GB2312" w:cs="宋体"/>
                <w:color w:val="333333"/>
                <w:sz w:val="20"/>
                <w:szCs w:val="20"/>
              </w:rPr>
              <w:t>各街道，各部门，区政务信息中心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cantSplit/>
          <w:trHeight w:val="1990" w:hRule="atLeast"/>
          <w:jc w:val="center"/>
        </w:trPr>
        <w:tc>
          <w:tcPr>
            <w:tcW w:w="3636" w:type="dxa"/>
            <w:tcBorders>
              <w:top w:val="nil"/>
              <w:left w:val="single" w:color="000000" w:sz="8" w:space="0"/>
              <w:bottom w:val="single" w:color="000000" w:sz="8" w:space="0"/>
              <w:right w:val="single" w:color="000000" w:sz="8" w:space="0"/>
            </w:tcBorders>
            <w:shd w:val="clear" w:color="auto" w:fill="FFFFFF"/>
            <w:tcMar>
              <w:left w:w="108" w:type="dxa"/>
              <w:right w:w="108" w:type="dxa"/>
            </w:tcMar>
            <w:vAlign w:val="center"/>
          </w:tcPr>
          <w:p>
            <w:pPr>
              <w:widowControl/>
              <w:textAlignment w:val="center"/>
              <w:rPr>
                <w:rFonts w:ascii="仿宋_GB2312" w:hAnsi="Times New Roman" w:eastAsia="仿宋_GB2312" w:cs="宋体"/>
                <w:color w:val="333333"/>
                <w:sz w:val="20"/>
                <w:szCs w:val="20"/>
              </w:rPr>
            </w:pPr>
            <w:r>
              <w:rPr>
                <w:rFonts w:ascii="仿宋_GB2312" w:hAnsi="Times New Roman" w:eastAsia="仿宋_GB2312" w:cs="宋体"/>
                <w:color w:val="333333"/>
                <w:sz w:val="20"/>
                <w:szCs w:val="20"/>
              </w:rPr>
              <w:t>17.</w:t>
            </w:r>
            <w:r>
              <w:rPr>
                <w:rFonts w:hint="eastAsia" w:ascii="仿宋_GB2312" w:hAnsi="Times New Roman" w:eastAsia="仿宋_GB2312" w:cs="宋体"/>
                <w:color w:val="333333"/>
                <w:sz w:val="20"/>
                <w:szCs w:val="20"/>
              </w:rPr>
              <w:t>积极采取新闻发布会形式做好重要政策文件的解读发布工作。</w:t>
            </w:r>
          </w:p>
        </w:tc>
        <w:tc>
          <w:tcPr>
            <w:tcW w:w="3956" w:type="dxa"/>
            <w:tcBorders>
              <w:top w:val="nil"/>
              <w:left w:val="nil"/>
              <w:bottom w:val="single" w:color="000000" w:sz="8" w:space="0"/>
              <w:right w:val="single" w:color="000000" w:sz="8" w:space="0"/>
            </w:tcBorders>
            <w:shd w:val="clear" w:color="auto" w:fill="FFFFFF"/>
            <w:tcMar>
              <w:left w:w="108" w:type="dxa"/>
              <w:right w:w="108" w:type="dxa"/>
            </w:tcMar>
            <w:vAlign w:val="center"/>
          </w:tcPr>
          <w:p>
            <w:pPr>
              <w:widowControl/>
              <w:textAlignment w:val="center"/>
              <w:rPr>
                <w:rFonts w:ascii="仿宋_GB2312" w:hAnsi="Times New Roman" w:eastAsia="仿宋_GB2312" w:cs="宋体"/>
                <w:color w:val="333333"/>
                <w:sz w:val="20"/>
                <w:szCs w:val="20"/>
              </w:rPr>
            </w:pPr>
            <w:r>
              <w:rPr>
                <w:rFonts w:hint="eastAsia" w:ascii="仿宋_GB2312" w:hAnsi="Times New Roman" w:eastAsia="仿宋_GB2312" w:cs="宋体"/>
                <w:color w:val="333333"/>
                <w:sz w:val="20"/>
                <w:szCs w:val="20"/>
              </w:rPr>
              <w:t>依法依规公开适合新闻发布的、重大的政务信息及政策解读等，包括重要战略规划、重大决策、重要政策、重要法规规章制度出台及执行情况，一个时期内经济社会发展情况等。</w:t>
            </w:r>
          </w:p>
        </w:tc>
        <w:tc>
          <w:tcPr>
            <w:tcW w:w="1656" w:type="dxa"/>
            <w:tcBorders>
              <w:top w:val="nil"/>
              <w:left w:val="nil"/>
              <w:bottom w:val="single" w:color="000000" w:sz="8" w:space="0"/>
              <w:right w:val="single" w:color="000000" w:sz="8" w:space="0"/>
            </w:tcBorders>
            <w:shd w:val="clear" w:color="auto" w:fill="FFFFFF"/>
            <w:tcMar>
              <w:left w:w="108" w:type="dxa"/>
              <w:right w:w="108" w:type="dxa"/>
            </w:tcMar>
            <w:vAlign w:val="center"/>
          </w:tcPr>
          <w:p>
            <w:pPr>
              <w:widowControl/>
              <w:textAlignment w:val="center"/>
              <w:rPr>
                <w:rFonts w:ascii="仿宋_GB2312" w:hAnsi="Times New Roman" w:eastAsia="仿宋_GB2312" w:cs="宋体"/>
                <w:color w:val="333333"/>
                <w:sz w:val="20"/>
                <w:szCs w:val="20"/>
              </w:rPr>
            </w:pPr>
            <w:r>
              <w:rPr>
                <w:rFonts w:hint="eastAsia" w:ascii="仿宋_GB2312" w:hAnsi="Times New Roman" w:eastAsia="仿宋_GB2312" w:cs="宋体"/>
                <w:color w:val="333333"/>
                <w:sz w:val="20"/>
                <w:szCs w:val="20"/>
              </w:rPr>
              <w:t>区新闻办</w:t>
            </w:r>
          </w:p>
        </w:tc>
        <w:tc>
          <w:tcPr>
            <w:tcW w:w="2501" w:type="dxa"/>
            <w:tcBorders>
              <w:top w:val="nil"/>
              <w:left w:val="nil"/>
              <w:bottom w:val="single" w:color="000000" w:sz="8" w:space="0"/>
              <w:right w:val="single" w:color="000000" w:sz="8" w:space="0"/>
            </w:tcBorders>
            <w:shd w:val="clear" w:color="auto" w:fill="FFFFFF"/>
            <w:tcMar>
              <w:left w:w="108" w:type="dxa"/>
              <w:right w:w="108" w:type="dxa"/>
            </w:tcMar>
            <w:vAlign w:val="center"/>
          </w:tcPr>
          <w:p>
            <w:pPr>
              <w:widowControl/>
              <w:textAlignment w:val="center"/>
              <w:rPr>
                <w:rFonts w:ascii="仿宋_GB2312" w:hAnsi="Times New Roman" w:eastAsia="仿宋_GB2312" w:cs="宋体"/>
                <w:color w:val="333333"/>
                <w:sz w:val="20"/>
                <w:szCs w:val="20"/>
              </w:rPr>
            </w:pPr>
            <w:r>
              <w:rPr>
                <w:rFonts w:hint="eastAsia" w:ascii="仿宋_GB2312" w:hAnsi="Times New Roman" w:eastAsia="仿宋_GB2312" w:cs="宋体"/>
                <w:color w:val="333333"/>
                <w:sz w:val="20"/>
                <w:szCs w:val="20"/>
              </w:rPr>
              <w:t>各街道，各部门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cantSplit/>
          <w:trHeight w:val="4291" w:hRule="atLeast"/>
          <w:jc w:val="center"/>
        </w:trPr>
        <w:tc>
          <w:tcPr>
            <w:tcW w:w="3636" w:type="dxa"/>
            <w:tcBorders>
              <w:top w:val="nil"/>
              <w:left w:val="single" w:color="000000" w:sz="8" w:space="0"/>
              <w:bottom w:val="single" w:color="000000" w:sz="8" w:space="0"/>
              <w:right w:val="single" w:color="000000" w:sz="8" w:space="0"/>
            </w:tcBorders>
            <w:shd w:val="clear" w:color="auto" w:fill="FFFFFF"/>
            <w:tcMar>
              <w:left w:w="108" w:type="dxa"/>
              <w:right w:w="108" w:type="dxa"/>
            </w:tcMar>
            <w:vAlign w:val="center"/>
          </w:tcPr>
          <w:p>
            <w:pPr>
              <w:widowControl/>
              <w:textAlignment w:val="center"/>
              <w:rPr>
                <w:rFonts w:ascii="仿宋_GB2312" w:hAnsi="Times New Roman" w:eastAsia="仿宋_GB2312" w:cs="宋体"/>
                <w:color w:val="333333"/>
                <w:sz w:val="20"/>
                <w:szCs w:val="20"/>
              </w:rPr>
            </w:pPr>
            <w:r>
              <w:rPr>
                <w:rFonts w:ascii="仿宋_GB2312" w:hAnsi="Times New Roman" w:eastAsia="仿宋_GB2312" w:cs="宋体"/>
                <w:color w:val="333333"/>
                <w:sz w:val="20"/>
                <w:szCs w:val="20"/>
              </w:rPr>
              <w:t>18.</w:t>
            </w:r>
            <w:r>
              <w:rPr>
                <w:rFonts w:hint="eastAsia" w:ascii="仿宋_GB2312" w:hAnsi="Times New Roman" w:eastAsia="仿宋_GB2312" w:cs="宋体"/>
                <w:color w:val="333333"/>
                <w:sz w:val="20"/>
                <w:szCs w:val="20"/>
              </w:rPr>
              <w:t>提升政策解读工作质量。</w:t>
            </w:r>
          </w:p>
        </w:tc>
        <w:tc>
          <w:tcPr>
            <w:tcW w:w="3956" w:type="dxa"/>
            <w:tcBorders>
              <w:top w:val="nil"/>
              <w:left w:val="nil"/>
              <w:bottom w:val="single" w:color="000000" w:sz="8" w:space="0"/>
              <w:right w:val="single" w:color="000000" w:sz="8" w:space="0"/>
            </w:tcBorders>
            <w:shd w:val="clear" w:color="auto" w:fill="FFFFFF"/>
            <w:tcMar>
              <w:left w:w="108" w:type="dxa"/>
              <w:right w:w="108" w:type="dxa"/>
            </w:tcMar>
            <w:vAlign w:val="center"/>
          </w:tcPr>
          <w:p>
            <w:pPr>
              <w:widowControl/>
              <w:spacing w:line="320" w:lineRule="atLeast"/>
              <w:textAlignment w:val="center"/>
              <w:rPr>
                <w:rFonts w:ascii="仿宋_GB2312" w:hAnsi="Times New Roman" w:eastAsia="仿宋_GB2312" w:cs="宋体"/>
                <w:color w:val="333333"/>
                <w:sz w:val="20"/>
                <w:szCs w:val="20"/>
              </w:rPr>
            </w:pPr>
            <w:r>
              <w:rPr>
                <w:rFonts w:hint="eastAsia" w:ascii="仿宋_GB2312" w:hAnsi="Times New Roman" w:eastAsia="仿宋_GB2312" w:cs="宋体"/>
                <w:color w:val="333333"/>
                <w:sz w:val="20"/>
                <w:szCs w:val="20"/>
              </w:rPr>
              <w:t>更加注重对政策背景、出台目的、重要举措等方面的实质性解读，对涉及群众切身利益的政策调整要进行重点精细解读，切实提高政策的知晓度和执行力。政策解读要注重科学性、权威性，避免“误读”；解读语言要通俗易懂、浅显明白，用老百姓的话解说老百姓关心的事。可根据工作需要培育壮大解读团队，充分发挥部门负责同志、专业人员、专家学者、媒体记者的作用，切实提高解读的针对性、科学性、权威性。</w:t>
            </w:r>
          </w:p>
        </w:tc>
        <w:tc>
          <w:tcPr>
            <w:tcW w:w="1656" w:type="dxa"/>
            <w:tcBorders>
              <w:top w:val="nil"/>
              <w:left w:val="nil"/>
              <w:bottom w:val="single" w:color="000000" w:sz="8" w:space="0"/>
              <w:right w:val="single" w:color="000000" w:sz="8" w:space="0"/>
            </w:tcBorders>
            <w:shd w:val="clear" w:color="auto" w:fill="FFFFFF"/>
            <w:tcMar>
              <w:left w:w="108" w:type="dxa"/>
              <w:right w:w="108" w:type="dxa"/>
            </w:tcMar>
            <w:vAlign w:val="center"/>
          </w:tcPr>
          <w:p>
            <w:pPr>
              <w:widowControl/>
              <w:jc w:val="center"/>
              <w:rPr>
                <w:rFonts w:ascii="仿宋_GB2312" w:hAnsi="Times New Roman" w:eastAsia="仿宋_GB2312" w:cs="宋体"/>
                <w:color w:val="333333"/>
                <w:sz w:val="20"/>
                <w:szCs w:val="20"/>
              </w:rPr>
            </w:pPr>
          </w:p>
        </w:tc>
        <w:tc>
          <w:tcPr>
            <w:tcW w:w="2501" w:type="dxa"/>
            <w:tcBorders>
              <w:top w:val="nil"/>
              <w:left w:val="nil"/>
              <w:bottom w:val="single" w:color="000000" w:sz="8" w:space="0"/>
              <w:right w:val="single" w:color="000000" w:sz="8" w:space="0"/>
            </w:tcBorders>
            <w:shd w:val="clear" w:color="auto" w:fill="FFFFFF"/>
            <w:tcMar>
              <w:left w:w="108" w:type="dxa"/>
              <w:right w:w="108" w:type="dxa"/>
            </w:tcMar>
            <w:vAlign w:val="center"/>
          </w:tcPr>
          <w:p>
            <w:pPr>
              <w:widowControl/>
              <w:textAlignment w:val="center"/>
              <w:rPr>
                <w:rFonts w:ascii="仿宋_GB2312" w:hAnsi="Times New Roman" w:eastAsia="仿宋_GB2312" w:cs="宋体"/>
                <w:color w:val="333333"/>
                <w:sz w:val="20"/>
                <w:szCs w:val="20"/>
              </w:rPr>
            </w:pPr>
            <w:r>
              <w:rPr>
                <w:rFonts w:hint="eastAsia" w:ascii="仿宋_GB2312" w:hAnsi="Times New Roman" w:eastAsia="仿宋_GB2312" w:cs="宋体"/>
                <w:color w:val="333333"/>
                <w:sz w:val="20"/>
                <w:szCs w:val="20"/>
              </w:rPr>
              <w:t>各街道，各部门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cantSplit/>
          <w:trHeight w:val="567" w:hRule="atLeast"/>
          <w:jc w:val="center"/>
        </w:trPr>
        <w:tc>
          <w:tcPr>
            <w:tcW w:w="11749" w:type="dxa"/>
            <w:gridSpan w:val="4"/>
            <w:tcBorders>
              <w:top w:val="nil"/>
              <w:left w:val="single" w:color="000000" w:sz="8" w:space="0"/>
              <w:bottom w:val="single" w:color="000000" w:sz="8" w:space="0"/>
              <w:right w:val="single" w:color="000000" w:sz="8" w:space="0"/>
            </w:tcBorders>
            <w:shd w:val="clear" w:color="auto" w:fill="FFFFFF"/>
            <w:tcMar>
              <w:left w:w="108" w:type="dxa"/>
              <w:right w:w="108" w:type="dxa"/>
            </w:tcMar>
            <w:vAlign w:val="center"/>
          </w:tcPr>
          <w:p>
            <w:pPr>
              <w:widowControl/>
              <w:textAlignment w:val="center"/>
              <w:rPr>
                <w:rFonts w:ascii="仿宋_GB2312" w:hAnsi="Times New Roman" w:eastAsia="仿宋_GB2312" w:cs="宋体"/>
                <w:color w:val="333333"/>
                <w:sz w:val="20"/>
                <w:szCs w:val="20"/>
              </w:rPr>
            </w:pPr>
            <w:r>
              <w:rPr>
                <w:rFonts w:hint="eastAsia" w:ascii="仿宋_GB2312" w:hAnsi="Times New Roman" w:eastAsia="仿宋_GB2312" w:cs="宋体"/>
                <w:color w:val="333333"/>
                <w:sz w:val="20"/>
                <w:szCs w:val="20"/>
              </w:rPr>
              <w:t>（三）切实增强回应关切效果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cantSplit/>
          <w:trHeight w:val="2392" w:hRule="atLeast"/>
          <w:jc w:val="center"/>
        </w:trPr>
        <w:tc>
          <w:tcPr>
            <w:tcW w:w="3636" w:type="dxa"/>
            <w:tcBorders>
              <w:top w:val="nil"/>
              <w:left w:val="single" w:color="000000" w:sz="8" w:space="0"/>
              <w:bottom w:val="single" w:color="000000" w:sz="8" w:space="0"/>
              <w:right w:val="single" w:color="000000" w:sz="8" w:space="0"/>
            </w:tcBorders>
            <w:shd w:val="clear" w:color="auto" w:fill="FFFFFF"/>
            <w:tcMar>
              <w:left w:w="108" w:type="dxa"/>
              <w:right w:w="108" w:type="dxa"/>
            </w:tcMar>
            <w:vAlign w:val="center"/>
          </w:tcPr>
          <w:p>
            <w:pPr>
              <w:widowControl/>
              <w:textAlignment w:val="center"/>
              <w:rPr>
                <w:rFonts w:ascii="仿宋_GB2312" w:hAnsi="Times New Roman" w:eastAsia="仿宋_GB2312" w:cs="宋体"/>
                <w:color w:val="333333"/>
                <w:sz w:val="20"/>
                <w:szCs w:val="20"/>
              </w:rPr>
            </w:pPr>
            <w:r>
              <w:rPr>
                <w:rFonts w:ascii="仿宋_GB2312" w:hAnsi="Times New Roman" w:eastAsia="仿宋_GB2312" w:cs="宋体"/>
                <w:color w:val="333333"/>
                <w:sz w:val="20"/>
                <w:szCs w:val="20"/>
              </w:rPr>
              <w:t>19.</w:t>
            </w:r>
            <w:r>
              <w:rPr>
                <w:rFonts w:hint="eastAsia" w:ascii="仿宋_GB2312" w:hAnsi="Times New Roman" w:eastAsia="仿宋_GB2312" w:cs="宋体"/>
                <w:color w:val="333333"/>
                <w:sz w:val="20"/>
                <w:szCs w:val="20"/>
              </w:rPr>
              <w:t>加强舆情回应台账管理。</w:t>
            </w:r>
          </w:p>
        </w:tc>
        <w:tc>
          <w:tcPr>
            <w:tcW w:w="3956" w:type="dxa"/>
            <w:tcBorders>
              <w:top w:val="single" w:color="000000" w:sz="8" w:space="0"/>
              <w:left w:val="nil"/>
              <w:bottom w:val="single" w:color="000000" w:sz="8" w:space="0"/>
              <w:right w:val="single" w:color="000000" w:sz="8" w:space="0"/>
            </w:tcBorders>
            <w:shd w:val="clear" w:color="auto" w:fill="FFFFFF"/>
            <w:tcMar>
              <w:left w:w="108" w:type="dxa"/>
              <w:right w:w="108" w:type="dxa"/>
            </w:tcMar>
            <w:vAlign w:val="center"/>
          </w:tcPr>
          <w:p>
            <w:pPr>
              <w:widowControl/>
              <w:textAlignment w:val="center"/>
              <w:rPr>
                <w:rFonts w:ascii="仿宋_GB2312" w:hAnsi="Times New Roman" w:eastAsia="仿宋_GB2312" w:cs="宋体"/>
                <w:color w:val="333333"/>
                <w:sz w:val="20"/>
                <w:szCs w:val="20"/>
              </w:rPr>
            </w:pPr>
            <w:r>
              <w:rPr>
                <w:rFonts w:hint="eastAsia" w:ascii="仿宋_GB2312" w:hAnsi="Times New Roman" w:eastAsia="仿宋_GB2312" w:cs="宋体"/>
                <w:color w:val="333333"/>
                <w:sz w:val="20"/>
                <w:szCs w:val="20"/>
              </w:rPr>
              <w:t>建立健全行政机关与宣传、网信部门政务舆情监测、研判、回应机制，紧紧围绕政务舆情背后的实际问题，以解决问题的具体举措实质性回应社会关切。认真核查已作出的承诺落实及公开情况，切实维护政府公信力。</w:t>
            </w:r>
          </w:p>
        </w:tc>
        <w:tc>
          <w:tcPr>
            <w:tcW w:w="1656" w:type="dxa"/>
            <w:tcBorders>
              <w:top w:val="single" w:color="000000" w:sz="8" w:space="0"/>
              <w:left w:val="nil"/>
              <w:bottom w:val="single" w:color="000000" w:sz="8" w:space="0"/>
              <w:right w:val="single" w:color="000000" w:sz="8" w:space="0"/>
            </w:tcBorders>
            <w:shd w:val="clear" w:color="auto" w:fill="FFFFFF"/>
            <w:tcMar>
              <w:left w:w="108" w:type="dxa"/>
              <w:right w:w="108" w:type="dxa"/>
            </w:tcMar>
            <w:vAlign w:val="center"/>
          </w:tcPr>
          <w:p>
            <w:pPr>
              <w:widowControl/>
              <w:jc w:val="center"/>
              <w:rPr>
                <w:rFonts w:ascii="仿宋_GB2312" w:hAnsi="Times New Roman" w:eastAsia="仿宋_GB2312" w:cs="宋体"/>
                <w:color w:val="333333"/>
                <w:sz w:val="20"/>
                <w:szCs w:val="20"/>
              </w:rPr>
            </w:pPr>
            <w:r>
              <w:rPr>
                <w:rFonts w:hint="eastAsia" w:ascii="仿宋_GB2312" w:hAnsi="Times New Roman" w:eastAsia="仿宋_GB2312" w:cs="宋体"/>
                <w:color w:val="333333"/>
                <w:sz w:val="20"/>
                <w:szCs w:val="20"/>
              </w:rPr>
              <w:t>区委宣传部</w:t>
            </w:r>
          </w:p>
        </w:tc>
        <w:tc>
          <w:tcPr>
            <w:tcW w:w="2501" w:type="dxa"/>
            <w:tcBorders>
              <w:top w:val="single" w:color="000000" w:sz="8" w:space="0"/>
              <w:left w:val="nil"/>
              <w:bottom w:val="single" w:color="000000" w:sz="8" w:space="0"/>
              <w:right w:val="single" w:color="000000" w:sz="8" w:space="0"/>
            </w:tcBorders>
            <w:shd w:val="clear" w:color="auto" w:fill="FFFFFF"/>
            <w:tcMar>
              <w:left w:w="108" w:type="dxa"/>
              <w:right w:w="108" w:type="dxa"/>
            </w:tcMar>
            <w:vAlign w:val="center"/>
          </w:tcPr>
          <w:p>
            <w:pPr>
              <w:widowControl/>
              <w:textAlignment w:val="center"/>
              <w:rPr>
                <w:rFonts w:ascii="仿宋_GB2312" w:hAnsi="Times New Roman" w:eastAsia="仿宋_GB2312" w:cs="宋体"/>
                <w:color w:val="333333"/>
                <w:sz w:val="20"/>
                <w:szCs w:val="20"/>
              </w:rPr>
            </w:pPr>
            <w:r>
              <w:rPr>
                <w:rFonts w:hint="eastAsia" w:ascii="仿宋_GB2312" w:hAnsi="Times New Roman" w:eastAsia="仿宋_GB2312" w:cs="宋体"/>
                <w:color w:val="333333"/>
                <w:sz w:val="20"/>
                <w:szCs w:val="20"/>
              </w:rPr>
              <w:t>各街道，各部门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cantSplit/>
          <w:trHeight w:val="90" w:hRule="atLeast"/>
          <w:jc w:val="center"/>
        </w:trPr>
        <w:tc>
          <w:tcPr>
            <w:tcW w:w="3636" w:type="dxa"/>
            <w:tcBorders>
              <w:top w:val="nil"/>
              <w:left w:val="single" w:color="000000" w:sz="8" w:space="0"/>
              <w:bottom w:val="single" w:color="000000" w:sz="8" w:space="0"/>
              <w:right w:val="single" w:color="000000" w:sz="8" w:space="0"/>
            </w:tcBorders>
            <w:shd w:val="clear" w:color="auto" w:fill="FFFFFF"/>
            <w:tcMar>
              <w:left w:w="108" w:type="dxa"/>
              <w:right w:w="108" w:type="dxa"/>
            </w:tcMar>
            <w:vAlign w:val="center"/>
          </w:tcPr>
          <w:p>
            <w:pPr>
              <w:widowControl/>
              <w:textAlignment w:val="center"/>
              <w:rPr>
                <w:rFonts w:ascii="仿宋_GB2312" w:hAnsi="Times New Roman" w:eastAsia="仿宋_GB2312" w:cs="宋体"/>
                <w:color w:val="333333"/>
                <w:sz w:val="20"/>
                <w:szCs w:val="20"/>
              </w:rPr>
            </w:pPr>
            <w:r>
              <w:rPr>
                <w:rFonts w:ascii="仿宋_GB2312" w:hAnsi="Times New Roman" w:eastAsia="仿宋_GB2312" w:cs="宋体"/>
                <w:color w:val="333333"/>
                <w:sz w:val="20"/>
                <w:szCs w:val="20"/>
              </w:rPr>
              <w:t>20.</w:t>
            </w:r>
            <w:r>
              <w:rPr>
                <w:rFonts w:hint="eastAsia" w:ascii="仿宋_GB2312" w:hAnsi="Times New Roman" w:eastAsia="仿宋_GB2312" w:cs="宋体"/>
                <w:color w:val="333333"/>
                <w:sz w:val="20"/>
                <w:szCs w:val="20"/>
              </w:rPr>
              <w:t>及时了解掌握政策执行效果。</w:t>
            </w:r>
          </w:p>
        </w:tc>
        <w:tc>
          <w:tcPr>
            <w:tcW w:w="3956" w:type="dxa"/>
            <w:tcBorders>
              <w:top w:val="nil"/>
              <w:left w:val="nil"/>
              <w:bottom w:val="single" w:color="000000" w:sz="8" w:space="0"/>
              <w:right w:val="single" w:color="000000" w:sz="8" w:space="0"/>
            </w:tcBorders>
            <w:shd w:val="clear" w:color="auto" w:fill="FFFFFF"/>
            <w:tcMar>
              <w:left w:w="108" w:type="dxa"/>
              <w:right w:w="108" w:type="dxa"/>
            </w:tcMar>
            <w:vAlign w:val="center"/>
          </w:tcPr>
          <w:p>
            <w:pPr>
              <w:widowControl/>
              <w:textAlignment w:val="center"/>
              <w:rPr>
                <w:rFonts w:ascii="仿宋_GB2312" w:hAnsi="Times New Roman" w:eastAsia="仿宋_GB2312" w:cs="宋体"/>
                <w:color w:val="333333"/>
                <w:sz w:val="20"/>
                <w:szCs w:val="20"/>
              </w:rPr>
            </w:pPr>
            <w:r>
              <w:rPr>
                <w:rFonts w:hint="eastAsia" w:ascii="仿宋_GB2312" w:hAnsi="Times New Roman" w:eastAsia="仿宋_GB2312" w:cs="宋体"/>
                <w:color w:val="333333"/>
                <w:sz w:val="20"/>
                <w:szCs w:val="20"/>
              </w:rPr>
              <w:t>进一步加强政策执行效果监督，通过网上调研等方式，了解掌握社会公众对政策执行效果的反馈与评价，主动回应存在的共性问题，助力政策完善。</w:t>
            </w:r>
          </w:p>
        </w:tc>
        <w:tc>
          <w:tcPr>
            <w:tcW w:w="1656" w:type="dxa"/>
            <w:tcBorders>
              <w:top w:val="nil"/>
              <w:left w:val="nil"/>
              <w:bottom w:val="single" w:color="000000" w:sz="8" w:space="0"/>
              <w:right w:val="single" w:color="000000" w:sz="8" w:space="0"/>
            </w:tcBorders>
            <w:shd w:val="clear" w:color="auto" w:fill="FFFFFF"/>
            <w:tcMar>
              <w:left w:w="108" w:type="dxa"/>
              <w:right w:w="108" w:type="dxa"/>
            </w:tcMar>
            <w:vAlign w:val="center"/>
          </w:tcPr>
          <w:p>
            <w:pPr>
              <w:widowControl/>
              <w:jc w:val="center"/>
              <w:rPr>
                <w:rFonts w:ascii="仿宋_GB2312" w:hAnsi="Times New Roman" w:eastAsia="仿宋_GB2312" w:cs="宋体"/>
                <w:color w:val="333333"/>
                <w:sz w:val="20"/>
                <w:szCs w:val="20"/>
              </w:rPr>
            </w:pPr>
          </w:p>
        </w:tc>
        <w:tc>
          <w:tcPr>
            <w:tcW w:w="2501" w:type="dxa"/>
            <w:tcBorders>
              <w:top w:val="nil"/>
              <w:left w:val="nil"/>
              <w:bottom w:val="single" w:color="000000" w:sz="8" w:space="0"/>
              <w:right w:val="single" w:color="000000" w:sz="8" w:space="0"/>
            </w:tcBorders>
            <w:shd w:val="clear" w:color="auto" w:fill="FFFFFF"/>
            <w:tcMar>
              <w:left w:w="108" w:type="dxa"/>
              <w:right w:w="108" w:type="dxa"/>
            </w:tcMar>
            <w:vAlign w:val="center"/>
          </w:tcPr>
          <w:p>
            <w:pPr>
              <w:widowControl/>
              <w:textAlignment w:val="center"/>
              <w:rPr>
                <w:rFonts w:ascii="仿宋_GB2312" w:hAnsi="Times New Roman" w:eastAsia="仿宋_GB2312" w:cs="宋体"/>
                <w:color w:val="333333"/>
                <w:sz w:val="20"/>
                <w:szCs w:val="20"/>
              </w:rPr>
            </w:pPr>
            <w:r>
              <w:rPr>
                <w:rFonts w:hint="eastAsia" w:ascii="仿宋_GB2312" w:hAnsi="Times New Roman" w:eastAsia="仿宋_GB2312" w:cs="宋体"/>
                <w:color w:val="333333"/>
                <w:sz w:val="20"/>
                <w:szCs w:val="20"/>
              </w:rPr>
              <w:t>各街道，各部门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cantSplit/>
          <w:trHeight w:val="2395" w:hRule="atLeast"/>
          <w:jc w:val="center"/>
        </w:trPr>
        <w:tc>
          <w:tcPr>
            <w:tcW w:w="3636" w:type="dxa"/>
            <w:tcBorders>
              <w:top w:val="nil"/>
              <w:left w:val="single" w:color="000000" w:sz="8" w:space="0"/>
              <w:bottom w:val="single" w:color="000000" w:sz="8" w:space="0"/>
              <w:right w:val="single" w:color="000000" w:sz="8" w:space="0"/>
            </w:tcBorders>
            <w:shd w:val="clear" w:color="auto" w:fill="FFFFFF"/>
            <w:tcMar>
              <w:left w:w="108" w:type="dxa"/>
              <w:right w:w="108" w:type="dxa"/>
            </w:tcMar>
            <w:vAlign w:val="center"/>
          </w:tcPr>
          <w:p>
            <w:pPr>
              <w:widowControl/>
              <w:textAlignment w:val="center"/>
              <w:rPr>
                <w:rFonts w:ascii="仿宋_GB2312" w:hAnsi="Times New Roman" w:eastAsia="仿宋_GB2312" w:cs="宋体"/>
                <w:color w:val="333333"/>
                <w:sz w:val="20"/>
                <w:szCs w:val="20"/>
              </w:rPr>
            </w:pPr>
            <w:r>
              <w:rPr>
                <w:rFonts w:ascii="仿宋_GB2312" w:hAnsi="Times New Roman" w:eastAsia="仿宋_GB2312" w:cs="宋体"/>
                <w:color w:val="333333"/>
                <w:sz w:val="20"/>
                <w:szCs w:val="20"/>
              </w:rPr>
              <w:t>21.</w:t>
            </w:r>
            <w:r>
              <w:rPr>
                <w:rFonts w:hint="eastAsia" w:ascii="仿宋_GB2312" w:hAnsi="Times New Roman" w:eastAsia="仿宋_GB2312" w:cs="宋体"/>
                <w:color w:val="333333"/>
                <w:sz w:val="20"/>
                <w:szCs w:val="20"/>
              </w:rPr>
              <w:t>密切关注、及时回应重点舆情。</w:t>
            </w:r>
          </w:p>
        </w:tc>
        <w:tc>
          <w:tcPr>
            <w:tcW w:w="3956" w:type="dxa"/>
            <w:tcBorders>
              <w:top w:val="nil"/>
              <w:left w:val="nil"/>
              <w:bottom w:val="single" w:color="000000" w:sz="8" w:space="0"/>
              <w:right w:val="single" w:color="000000" w:sz="8" w:space="0"/>
            </w:tcBorders>
            <w:shd w:val="clear" w:color="auto" w:fill="FFFFFF"/>
            <w:tcMar>
              <w:left w:w="108" w:type="dxa"/>
              <w:right w:w="108" w:type="dxa"/>
            </w:tcMar>
            <w:vAlign w:val="center"/>
          </w:tcPr>
          <w:p>
            <w:pPr>
              <w:widowControl/>
              <w:textAlignment w:val="center"/>
              <w:rPr>
                <w:rFonts w:ascii="仿宋_GB2312" w:hAnsi="Times New Roman" w:eastAsia="仿宋_GB2312" w:cs="宋体"/>
                <w:color w:val="333333"/>
                <w:sz w:val="20"/>
                <w:szCs w:val="20"/>
              </w:rPr>
            </w:pPr>
            <w:r>
              <w:rPr>
                <w:rFonts w:hint="eastAsia" w:ascii="仿宋_GB2312" w:hAnsi="Times New Roman" w:eastAsia="仿宋_GB2312" w:cs="宋体"/>
                <w:color w:val="333333"/>
                <w:sz w:val="20"/>
                <w:szCs w:val="20"/>
              </w:rPr>
              <w:t>密切关注涉及疫情防控、房地产金融、工资拖欠、环境污染和生态破坏、食品药品安全、教育医疗养老、安全生产、困难群众生活等方面的舆情，及时作出回应并推动相关问题实质性解决，助力防范化解各类风险。</w:t>
            </w:r>
          </w:p>
        </w:tc>
        <w:tc>
          <w:tcPr>
            <w:tcW w:w="1656" w:type="dxa"/>
            <w:tcBorders>
              <w:top w:val="nil"/>
              <w:left w:val="nil"/>
              <w:bottom w:val="single" w:color="000000" w:sz="8" w:space="0"/>
              <w:right w:val="single" w:color="000000" w:sz="8" w:space="0"/>
            </w:tcBorders>
            <w:shd w:val="clear" w:color="auto" w:fill="FFFFFF"/>
            <w:tcMar>
              <w:left w:w="108" w:type="dxa"/>
              <w:right w:w="108" w:type="dxa"/>
            </w:tcMar>
            <w:vAlign w:val="center"/>
          </w:tcPr>
          <w:p>
            <w:pPr>
              <w:widowControl/>
              <w:jc w:val="center"/>
              <w:textAlignment w:val="center"/>
              <w:rPr>
                <w:rFonts w:ascii="仿宋_GB2312" w:hAnsi="Times New Roman" w:eastAsia="仿宋_GB2312" w:cs="宋体"/>
                <w:color w:val="333333"/>
                <w:sz w:val="20"/>
                <w:szCs w:val="20"/>
              </w:rPr>
            </w:pPr>
            <w:r>
              <w:rPr>
                <w:rFonts w:hint="eastAsia" w:ascii="仿宋_GB2312" w:hAnsi="Times New Roman" w:eastAsia="仿宋_GB2312" w:cs="宋体"/>
                <w:color w:val="333333"/>
                <w:sz w:val="20"/>
                <w:szCs w:val="20"/>
              </w:rPr>
              <w:t>区委宣传部</w:t>
            </w:r>
          </w:p>
          <w:p>
            <w:pPr>
              <w:widowControl/>
              <w:jc w:val="center"/>
              <w:textAlignment w:val="center"/>
              <w:rPr>
                <w:rFonts w:ascii="仿宋_GB2312" w:hAnsi="Times New Roman" w:eastAsia="仿宋_GB2312" w:cs="宋体"/>
                <w:color w:val="333333"/>
                <w:sz w:val="20"/>
                <w:szCs w:val="20"/>
              </w:rPr>
            </w:pPr>
            <w:r>
              <w:rPr>
                <w:rFonts w:hint="eastAsia" w:ascii="仿宋_GB2312" w:hAnsi="Times New Roman" w:eastAsia="仿宋_GB2312" w:cs="宋体"/>
                <w:color w:val="333333"/>
                <w:sz w:val="20"/>
                <w:szCs w:val="20"/>
              </w:rPr>
              <w:t>区新闻办</w:t>
            </w:r>
          </w:p>
          <w:p>
            <w:pPr>
              <w:widowControl/>
              <w:jc w:val="center"/>
              <w:textAlignment w:val="center"/>
              <w:rPr>
                <w:rFonts w:ascii="仿宋_GB2312" w:hAnsi="Times New Roman" w:eastAsia="仿宋_GB2312" w:cs="宋体"/>
                <w:color w:val="333333"/>
                <w:sz w:val="20"/>
                <w:szCs w:val="20"/>
              </w:rPr>
            </w:pPr>
          </w:p>
        </w:tc>
        <w:tc>
          <w:tcPr>
            <w:tcW w:w="2501" w:type="dxa"/>
            <w:tcBorders>
              <w:top w:val="nil"/>
              <w:left w:val="nil"/>
              <w:bottom w:val="single" w:color="000000" w:sz="8" w:space="0"/>
              <w:right w:val="single" w:color="000000" w:sz="8" w:space="0"/>
            </w:tcBorders>
            <w:shd w:val="clear" w:color="auto" w:fill="FFFFFF"/>
            <w:tcMar>
              <w:left w:w="108" w:type="dxa"/>
              <w:right w:w="108" w:type="dxa"/>
            </w:tcMar>
            <w:vAlign w:val="center"/>
          </w:tcPr>
          <w:p>
            <w:pPr>
              <w:widowControl/>
              <w:textAlignment w:val="center"/>
              <w:rPr>
                <w:rFonts w:ascii="仿宋_GB2312" w:hAnsi="Times New Roman" w:eastAsia="仿宋_GB2312" w:cs="宋体"/>
                <w:color w:val="333333"/>
                <w:sz w:val="20"/>
                <w:szCs w:val="20"/>
              </w:rPr>
            </w:pPr>
            <w:r>
              <w:rPr>
                <w:rFonts w:hint="eastAsia" w:ascii="仿宋_GB2312" w:hAnsi="Times New Roman" w:eastAsia="仿宋_GB2312" w:cs="宋体"/>
                <w:color w:val="333333"/>
                <w:sz w:val="20"/>
                <w:szCs w:val="20"/>
              </w:rPr>
              <w:t>各街道，各部门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cantSplit/>
          <w:trHeight w:val="567" w:hRule="atLeast"/>
          <w:jc w:val="center"/>
        </w:trPr>
        <w:tc>
          <w:tcPr>
            <w:tcW w:w="11749" w:type="dxa"/>
            <w:gridSpan w:val="4"/>
            <w:tcBorders>
              <w:top w:val="nil"/>
              <w:left w:val="single" w:color="000000" w:sz="8" w:space="0"/>
              <w:bottom w:val="single" w:color="000000" w:sz="8" w:space="0"/>
              <w:right w:val="single" w:color="000000" w:sz="8" w:space="0"/>
            </w:tcBorders>
            <w:shd w:val="clear" w:color="auto" w:fill="FFFFFF"/>
            <w:tcMar>
              <w:left w:w="108" w:type="dxa"/>
              <w:right w:w="108" w:type="dxa"/>
            </w:tcMar>
            <w:vAlign w:val="center"/>
          </w:tcPr>
          <w:p>
            <w:pPr>
              <w:widowControl/>
              <w:jc w:val="center"/>
              <w:textAlignment w:val="center"/>
              <w:rPr>
                <w:rFonts w:ascii="仿宋_GB2312" w:hAnsi="Times New Roman" w:eastAsia="仿宋_GB2312" w:cs="宋体"/>
                <w:color w:val="333333"/>
                <w:sz w:val="20"/>
                <w:szCs w:val="20"/>
              </w:rPr>
            </w:pPr>
            <w:r>
              <w:rPr>
                <w:rFonts w:hint="eastAsia" w:ascii="仿宋_GB2312" w:hAnsi="Times New Roman" w:eastAsia="仿宋_GB2312" w:cs="宋体"/>
                <w:b/>
                <w:bCs/>
                <w:color w:val="333333"/>
                <w:sz w:val="20"/>
                <w:szCs w:val="20"/>
              </w:rPr>
              <w:t>三、紧扣强基础抓基层，进一步深化政务公开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cantSplit/>
          <w:trHeight w:val="800" w:hRule="atLeast"/>
          <w:jc w:val="center"/>
        </w:trPr>
        <w:tc>
          <w:tcPr>
            <w:tcW w:w="11749" w:type="dxa"/>
            <w:gridSpan w:val="4"/>
            <w:tcBorders>
              <w:top w:val="nil"/>
              <w:left w:val="single" w:color="000000" w:sz="8" w:space="0"/>
              <w:bottom w:val="single" w:color="000000" w:sz="8" w:space="0"/>
              <w:right w:val="single" w:color="000000" w:sz="8" w:space="0"/>
            </w:tcBorders>
            <w:shd w:val="clear" w:color="auto" w:fill="FFFFFF"/>
            <w:tcMar>
              <w:left w:w="108" w:type="dxa"/>
              <w:right w:w="108" w:type="dxa"/>
            </w:tcMar>
            <w:vAlign w:val="center"/>
          </w:tcPr>
          <w:p>
            <w:pPr>
              <w:widowControl/>
              <w:textAlignment w:val="center"/>
              <w:rPr>
                <w:rFonts w:ascii="仿宋_GB2312" w:hAnsi="Times New Roman" w:eastAsia="仿宋_GB2312" w:cs="宋体"/>
                <w:color w:val="333333"/>
                <w:sz w:val="20"/>
                <w:szCs w:val="20"/>
              </w:rPr>
            </w:pPr>
            <w:r>
              <w:rPr>
                <w:rFonts w:hint="eastAsia" w:ascii="仿宋_GB2312" w:hAnsi="Times New Roman" w:eastAsia="仿宋_GB2312" w:cs="宋体"/>
                <w:color w:val="333333"/>
                <w:sz w:val="20"/>
                <w:szCs w:val="20"/>
              </w:rPr>
              <w:t>（一）做好政务信息管理工作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cantSplit/>
          <w:trHeight w:val="2148" w:hRule="atLeast"/>
          <w:jc w:val="center"/>
        </w:trPr>
        <w:tc>
          <w:tcPr>
            <w:tcW w:w="3636" w:type="dxa"/>
            <w:tcBorders>
              <w:top w:val="nil"/>
              <w:left w:val="single" w:color="000000" w:sz="8" w:space="0"/>
              <w:bottom w:val="single" w:color="000000" w:sz="8" w:space="0"/>
              <w:right w:val="single" w:color="000000" w:sz="8" w:space="0"/>
            </w:tcBorders>
            <w:shd w:val="clear" w:color="auto" w:fill="FFFFFF"/>
            <w:tcMar>
              <w:left w:w="108" w:type="dxa"/>
              <w:right w:w="108" w:type="dxa"/>
            </w:tcMar>
            <w:vAlign w:val="center"/>
          </w:tcPr>
          <w:p>
            <w:pPr>
              <w:widowControl/>
              <w:textAlignment w:val="center"/>
              <w:rPr>
                <w:rFonts w:ascii="仿宋_GB2312" w:hAnsi="Times New Roman" w:eastAsia="仿宋_GB2312" w:cs="宋体"/>
                <w:color w:val="333333"/>
                <w:sz w:val="20"/>
                <w:szCs w:val="20"/>
              </w:rPr>
            </w:pPr>
            <w:r>
              <w:rPr>
                <w:rFonts w:ascii="仿宋_GB2312" w:hAnsi="Times New Roman" w:eastAsia="仿宋_GB2312" w:cs="宋体"/>
                <w:color w:val="333333"/>
                <w:sz w:val="20"/>
                <w:szCs w:val="20"/>
              </w:rPr>
              <w:t>22.</w:t>
            </w:r>
            <w:r>
              <w:rPr>
                <w:rFonts w:hint="eastAsia" w:ascii="仿宋_GB2312" w:hAnsi="Times New Roman" w:eastAsia="仿宋_GB2312" w:cs="宋体"/>
                <w:color w:val="333333"/>
                <w:sz w:val="20"/>
                <w:szCs w:val="20"/>
              </w:rPr>
              <w:t>及时更新本机关网站政府规章和行政规范性文件文本。</w:t>
            </w:r>
          </w:p>
        </w:tc>
        <w:tc>
          <w:tcPr>
            <w:tcW w:w="3956" w:type="dxa"/>
            <w:tcBorders>
              <w:top w:val="single" w:color="000000" w:sz="8" w:space="0"/>
              <w:left w:val="nil"/>
              <w:bottom w:val="single" w:color="000000" w:sz="8" w:space="0"/>
              <w:right w:val="single" w:color="000000" w:sz="8" w:space="0"/>
            </w:tcBorders>
            <w:shd w:val="clear" w:color="auto" w:fill="FFFFFF"/>
            <w:tcMar>
              <w:left w:w="108" w:type="dxa"/>
              <w:right w:w="108" w:type="dxa"/>
            </w:tcMar>
            <w:vAlign w:val="center"/>
          </w:tcPr>
          <w:p>
            <w:pPr>
              <w:widowControl/>
              <w:textAlignment w:val="center"/>
              <w:rPr>
                <w:rFonts w:ascii="仿宋_GB2312" w:hAnsi="Times New Roman" w:eastAsia="仿宋_GB2312" w:cs="宋体"/>
                <w:color w:val="FF0000"/>
                <w:sz w:val="20"/>
                <w:szCs w:val="20"/>
              </w:rPr>
            </w:pPr>
            <w:r>
              <w:rPr>
                <w:rFonts w:hint="eastAsia" w:ascii="仿宋_GB2312" w:hAnsi="Times New Roman" w:eastAsia="仿宋_GB2312" w:cs="宋体"/>
                <w:color w:val="333333"/>
                <w:sz w:val="20"/>
                <w:szCs w:val="20"/>
              </w:rPr>
              <w:t>认真对照中国政府法制信息网、福建省司法厅网站公布的政策法规信息正式版本，及时更新本机关网站政府规章和行政规范性文件文本。</w:t>
            </w:r>
          </w:p>
        </w:tc>
        <w:tc>
          <w:tcPr>
            <w:tcW w:w="1656" w:type="dxa"/>
            <w:tcBorders>
              <w:top w:val="single" w:color="000000" w:sz="8" w:space="0"/>
              <w:left w:val="nil"/>
              <w:bottom w:val="single" w:color="000000" w:sz="8" w:space="0"/>
              <w:right w:val="single" w:color="000000" w:sz="8" w:space="0"/>
            </w:tcBorders>
            <w:shd w:val="clear" w:color="auto" w:fill="FFFFFF"/>
            <w:tcMar>
              <w:left w:w="108" w:type="dxa"/>
              <w:right w:w="108" w:type="dxa"/>
            </w:tcMar>
            <w:vAlign w:val="center"/>
          </w:tcPr>
          <w:p>
            <w:pPr>
              <w:widowControl/>
              <w:jc w:val="center"/>
              <w:rPr>
                <w:rFonts w:ascii="仿宋_GB2312" w:hAnsi="Times New Roman" w:eastAsia="仿宋_GB2312" w:cs="宋体"/>
                <w:color w:val="333333"/>
                <w:sz w:val="20"/>
                <w:szCs w:val="20"/>
              </w:rPr>
            </w:pPr>
            <w:r>
              <w:rPr>
                <w:rFonts w:hint="eastAsia" w:ascii="仿宋_GB2312" w:hAnsi="Times New Roman" w:eastAsia="仿宋_GB2312" w:cs="宋体"/>
                <w:color w:val="333333"/>
                <w:sz w:val="20"/>
                <w:szCs w:val="20"/>
              </w:rPr>
              <w:t>区司法局</w:t>
            </w:r>
          </w:p>
        </w:tc>
        <w:tc>
          <w:tcPr>
            <w:tcW w:w="2501" w:type="dxa"/>
            <w:tcBorders>
              <w:top w:val="single" w:color="000000" w:sz="8" w:space="0"/>
              <w:left w:val="nil"/>
              <w:bottom w:val="single" w:color="000000" w:sz="8" w:space="0"/>
              <w:right w:val="single" w:color="000000" w:sz="8" w:space="0"/>
            </w:tcBorders>
            <w:shd w:val="clear" w:color="auto" w:fill="FFFFFF"/>
            <w:tcMar>
              <w:left w:w="108" w:type="dxa"/>
              <w:right w:w="108" w:type="dxa"/>
            </w:tcMar>
            <w:vAlign w:val="center"/>
          </w:tcPr>
          <w:p>
            <w:pPr>
              <w:widowControl/>
              <w:textAlignment w:val="center"/>
              <w:rPr>
                <w:rFonts w:ascii="仿宋_GB2312" w:hAnsi="Times New Roman" w:eastAsia="仿宋_GB2312" w:cs="宋体"/>
                <w:color w:val="333333"/>
                <w:sz w:val="20"/>
                <w:szCs w:val="20"/>
              </w:rPr>
            </w:pPr>
            <w:r>
              <w:rPr>
                <w:rFonts w:hint="eastAsia" w:ascii="仿宋_GB2312" w:hAnsi="Times New Roman" w:eastAsia="仿宋_GB2312" w:cs="宋体"/>
                <w:color w:val="333333"/>
                <w:sz w:val="20"/>
                <w:szCs w:val="20"/>
              </w:rPr>
              <w:t>各街道，各部门，区政务信息中心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cantSplit/>
          <w:trHeight w:val="1534" w:hRule="atLeast"/>
          <w:jc w:val="center"/>
        </w:trPr>
        <w:tc>
          <w:tcPr>
            <w:tcW w:w="3636" w:type="dxa"/>
            <w:tcBorders>
              <w:top w:val="nil"/>
              <w:left w:val="single" w:color="000000" w:sz="8" w:space="0"/>
              <w:bottom w:val="single" w:color="000000" w:sz="8" w:space="0"/>
              <w:right w:val="single" w:color="000000" w:sz="8" w:space="0"/>
            </w:tcBorders>
            <w:shd w:val="clear" w:color="auto" w:fill="FFFFFF"/>
            <w:tcMar>
              <w:left w:w="108" w:type="dxa"/>
              <w:right w:w="108" w:type="dxa"/>
            </w:tcMar>
            <w:vAlign w:val="center"/>
          </w:tcPr>
          <w:p>
            <w:pPr>
              <w:widowControl/>
              <w:textAlignment w:val="center"/>
              <w:rPr>
                <w:rFonts w:ascii="仿宋_GB2312" w:hAnsi="Times New Roman" w:eastAsia="仿宋_GB2312" w:cs="宋体"/>
                <w:color w:val="333333"/>
                <w:sz w:val="20"/>
                <w:szCs w:val="20"/>
              </w:rPr>
            </w:pPr>
            <w:r>
              <w:rPr>
                <w:rFonts w:ascii="仿宋_GB2312" w:hAnsi="Times New Roman" w:eastAsia="仿宋_GB2312" w:cs="宋体"/>
                <w:color w:val="333333"/>
                <w:sz w:val="20"/>
                <w:szCs w:val="20"/>
              </w:rPr>
              <w:t>23.</w:t>
            </w:r>
            <w:r>
              <w:rPr>
                <w:rFonts w:hint="eastAsia" w:ascii="仿宋_GB2312" w:hAnsi="Times New Roman" w:eastAsia="仿宋_GB2312" w:cs="宋体"/>
                <w:color w:val="333333"/>
                <w:sz w:val="20"/>
                <w:szCs w:val="20"/>
              </w:rPr>
              <w:t>全面推进规范性文件集中统一公开。</w:t>
            </w:r>
          </w:p>
        </w:tc>
        <w:tc>
          <w:tcPr>
            <w:tcW w:w="3956" w:type="dxa"/>
            <w:tcBorders>
              <w:top w:val="nil"/>
              <w:left w:val="nil"/>
              <w:bottom w:val="single" w:color="000000" w:sz="8" w:space="0"/>
              <w:right w:val="single" w:color="000000" w:sz="8" w:space="0"/>
            </w:tcBorders>
            <w:shd w:val="clear" w:color="auto" w:fill="FFFFFF"/>
            <w:tcMar>
              <w:left w:w="108" w:type="dxa"/>
              <w:right w:w="108" w:type="dxa"/>
            </w:tcMar>
            <w:vAlign w:val="center"/>
          </w:tcPr>
          <w:p>
            <w:pPr>
              <w:widowControl/>
              <w:textAlignment w:val="center"/>
              <w:rPr>
                <w:rFonts w:ascii="仿宋_GB2312" w:hAnsi="Times New Roman" w:eastAsia="仿宋_GB2312" w:cs="宋体"/>
                <w:color w:val="333333"/>
                <w:sz w:val="20"/>
                <w:szCs w:val="20"/>
              </w:rPr>
            </w:pPr>
            <w:r>
              <w:rPr>
                <w:rFonts w:ascii="仿宋_GB2312" w:hAnsi="Times New Roman" w:eastAsia="仿宋_GB2312" w:cs="宋体"/>
                <w:color w:val="333333"/>
                <w:sz w:val="20"/>
                <w:szCs w:val="20"/>
              </w:rPr>
              <w:t>2021</w:t>
            </w:r>
            <w:r>
              <w:rPr>
                <w:rFonts w:hint="eastAsia" w:ascii="仿宋_GB2312" w:hAnsi="Times New Roman" w:eastAsia="仿宋_GB2312" w:cs="宋体"/>
                <w:color w:val="333333"/>
                <w:sz w:val="20"/>
                <w:szCs w:val="20"/>
              </w:rPr>
              <w:t>年</w:t>
            </w:r>
            <w:r>
              <w:rPr>
                <w:rFonts w:ascii="仿宋_GB2312" w:hAnsi="Times New Roman" w:eastAsia="仿宋_GB2312" w:cs="宋体"/>
                <w:color w:val="333333"/>
                <w:sz w:val="20"/>
                <w:szCs w:val="20"/>
              </w:rPr>
              <w:t>10</w:t>
            </w:r>
            <w:r>
              <w:rPr>
                <w:rFonts w:hint="eastAsia" w:ascii="仿宋_GB2312" w:hAnsi="Times New Roman" w:eastAsia="仿宋_GB2312" w:cs="宋体"/>
                <w:color w:val="333333"/>
                <w:sz w:val="20"/>
                <w:szCs w:val="20"/>
              </w:rPr>
              <w:t>月前，将现行有效的区级规范性文件通过政府门户网站的政府信息公开专栏集中公开，制作规范性文件目录，方便公众查询使用。</w:t>
            </w:r>
          </w:p>
        </w:tc>
        <w:tc>
          <w:tcPr>
            <w:tcW w:w="1656" w:type="dxa"/>
            <w:tcBorders>
              <w:top w:val="nil"/>
              <w:left w:val="nil"/>
              <w:bottom w:val="single" w:color="000000" w:sz="8" w:space="0"/>
              <w:right w:val="single" w:color="000000" w:sz="8" w:space="0"/>
            </w:tcBorders>
            <w:shd w:val="clear" w:color="auto" w:fill="FFFFFF"/>
            <w:tcMar>
              <w:left w:w="108" w:type="dxa"/>
              <w:right w:w="108" w:type="dxa"/>
            </w:tcMar>
            <w:vAlign w:val="center"/>
          </w:tcPr>
          <w:p>
            <w:pPr>
              <w:widowControl/>
              <w:jc w:val="center"/>
              <w:rPr>
                <w:rFonts w:ascii="仿宋_GB2312" w:hAnsi="Times New Roman" w:eastAsia="仿宋_GB2312" w:cs="宋体"/>
                <w:color w:val="333333"/>
                <w:sz w:val="20"/>
                <w:szCs w:val="20"/>
              </w:rPr>
            </w:pPr>
          </w:p>
        </w:tc>
        <w:tc>
          <w:tcPr>
            <w:tcW w:w="2501" w:type="dxa"/>
            <w:tcBorders>
              <w:top w:val="nil"/>
              <w:left w:val="nil"/>
              <w:bottom w:val="single" w:color="000000" w:sz="8" w:space="0"/>
              <w:right w:val="single" w:color="000000" w:sz="8" w:space="0"/>
            </w:tcBorders>
            <w:shd w:val="clear" w:color="auto" w:fill="FFFFFF"/>
            <w:tcMar>
              <w:left w:w="108" w:type="dxa"/>
              <w:right w:w="108" w:type="dxa"/>
            </w:tcMar>
            <w:vAlign w:val="center"/>
          </w:tcPr>
          <w:p>
            <w:pPr>
              <w:widowControl/>
              <w:textAlignment w:val="center"/>
              <w:rPr>
                <w:rFonts w:ascii="仿宋_GB2312" w:hAnsi="Times New Roman" w:eastAsia="仿宋_GB2312" w:cs="宋体"/>
                <w:color w:val="333333"/>
                <w:sz w:val="20"/>
                <w:szCs w:val="20"/>
              </w:rPr>
            </w:pPr>
            <w:r>
              <w:rPr>
                <w:rFonts w:hint="eastAsia" w:ascii="仿宋_GB2312" w:hAnsi="Times New Roman" w:eastAsia="仿宋_GB2312" w:cs="宋体"/>
                <w:color w:val="333333"/>
                <w:sz w:val="20"/>
                <w:szCs w:val="20"/>
              </w:rPr>
              <w:t>区司法局，区政务信息中心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cantSplit/>
          <w:trHeight w:val="1900" w:hRule="atLeast"/>
          <w:jc w:val="center"/>
        </w:trPr>
        <w:tc>
          <w:tcPr>
            <w:tcW w:w="3636" w:type="dxa"/>
            <w:tcBorders>
              <w:top w:val="nil"/>
              <w:left w:val="single" w:color="000000" w:sz="8" w:space="0"/>
              <w:bottom w:val="single" w:color="000000" w:sz="8" w:space="0"/>
              <w:right w:val="single" w:color="000000" w:sz="8" w:space="0"/>
            </w:tcBorders>
            <w:shd w:val="clear" w:color="auto" w:fill="FFFFFF"/>
            <w:tcMar>
              <w:left w:w="108" w:type="dxa"/>
              <w:right w:w="108" w:type="dxa"/>
            </w:tcMar>
            <w:vAlign w:val="center"/>
          </w:tcPr>
          <w:p>
            <w:pPr>
              <w:widowControl/>
              <w:textAlignment w:val="center"/>
              <w:rPr>
                <w:rFonts w:ascii="仿宋_GB2312" w:hAnsi="Times New Roman" w:eastAsia="仿宋_GB2312" w:cs="宋体"/>
                <w:color w:val="333333"/>
                <w:sz w:val="20"/>
                <w:szCs w:val="20"/>
              </w:rPr>
            </w:pPr>
            <w:r>
              <w:rPr>
                <w:rFonts w:ascii="仿宋_GB2312" w:hAnsi="Times New Roman" w:eastAsia="仿宋_GB2312" w:cs="宋体"/>
                <w:color w:val="333333"/>
                <w:spacing w:val="-6"/>
                <w:sz w:val="20"/>
                <w:szCs w:val="20"/>
              </w:rPr>
              <w:t>24.</w:t>
            </w:r>
            <w:r>
              <w:rPr>
                <w:rFonts w:hint="eastAsia" w:ascii="仿宋_GB2312" w:hAnsi="Times New Roman" w:eastAsia="仿宋_GB2312" w:cs="宋体"/>
                <w:color w:val="333333"/>
                <w:spacing w:val="-6"/>
                <w:sz w:val="20"/>
                <w:szCs w:val="20"/>
              </w:rPr>
              <w:t>系统梳理本机关规范性文件。</w:t>
            </w:r>
          </w:p>
        </w:tc>
        <w:tc>
          <w:tcPr>
            <w:tcW w:w="3956" w:type="dxa"/>
            <w:tcBorders>
              <w:top w:val="nil"/>
              <w:left w:val="nil"/>
              <w:bottom w:val="single" w:color="000000" w:sz="8" w:space="0"/>
              <w:right w:val="single" w:color="000000" w:sz="8" w:space="0"/>
            </w:tcBorders>
            <w:shd w:val="clear" w:color="auto" w:fill="FFFFFF"/>
            <w:tcMar>
              <w:left w:w="108" w:type="dxa"/>
              <w:right w:w="108" w:type="dxa"/>
            </w:tcMar>
            <w:vAlign w:val="center"/>
          </w:tcPr>
          <w:p>
            <w:pPr>
              <w:widowControl/>
              <w:textAlignment w:val="center"/>
              <w:rPr>
                <w:rFonts w:ascii="仿宋_GB2312" w:hAnsi="Times New Roman" w:eastAsia="仿宋_GB2312" w:cs="宋体"/>
                <w:color w:val="333333"/>
                <w:sz w:val="20"/>
                <w:szCs w:val="20"/>
              </w:rPr>
            </w:pPr>
            <w:r>
              <w:rPr>
                <w:rFonts w:hint="eastAsia" w:ascii="仿宋_GB2312" w:hAnsi="Times New Roman" w:eastAsia="仿宋_GB2312" w:cs="宋体"/>
                <w:color w:val="333333"/>
                <w:sz w:val="20"/>
                <w:szCs w:val="20"/>
              </w:rPr>
              <w:t>进一步梳理本机关制发的现行有效规范性文件，按照“放管服”改革要求及时立改废，实现动态更新，彻底解决底数不清问题。</w:t>
            </w:r>
          </w:p>
        </w:tc>
        <w:tc>
          <w:tcPr>
            <w:tcW w:w="1656" w:type="dxa"/>
            <w:tcBorders>
              <w:top w:val="nil"/>
              <w:left w:val="nil"/>
              <w:bottom w:val="single" w:color="000000" w:sz="8" w:space="0"/>
              <w:right w:val="single" w:color="000000" w:sz="8" w:space="0"/>
            </w:tcBorders>
            <w:shd w:val="clear" w:color="auto" w:fill="FFFFFF"/>
            <w:tcMar>
              <w:left w:w="108" w:type="dxa"/>
              <w:right w:w="108" w:type="dxa"/>
            </w:tcMar>
            <w:vAlign w:val="center"/>
          </w:tcPr>
          <w:p>
            <w:pPr>
              <w:widowControl/>
              <w:jc w:val="center"/>
              <w:rPr>
                <w:rFonts w:ascii="仿宋_GB2312" w:hAnsi="Times New Roman" w:eastAsia="仿宋_GB2312" w:cs="宋体"/>
                <w:color w:val="333333"/>
                <w:sz w:val="20"/>
                <w:szCs w:val="20"/>
              </w:rPr>
            </w:pPr>
            <w:r>
              <w:rPr>
                <w:rFonts w:hint="eastAsia" w:ascii="仿宋_GB2312" w:hAnsi="Times New Roman" w:eastAsia="仿宋_GB2312" w:cs="宋体"/>
                <w:color w:val="333333"/>
                <w:sz w:val="20"/>
                <w:szCs w:val="20"/>
              </w:rPr>
              <w:t>区司法局</w:t>
            </w:r>
          </w:p>
        </w:tc>
        <w:tc>
          <w:tcPr>
            <w:tcW w:w="2501" w:type="dxa"/>
            <w:tcBorders>
              <w:top w:val="nil"/>
              <w:left w:val="nil"/>
              <w:bottom w:val="single" w:color="000000" w:sz="8" w:space="0"/>
              <w:right w:val="single" w:color="000000" w:sz="8" w:space="0"/>
            </w:tcBorders>
            <w:shd w:val="clear" w:color="auto" w:fill="FFFFFF"/>
            <w:tcMar>
              <w:left w:w="108" w:type="dxa"/>
              <w:right w:w="108" w:type="dxa"/>
            </w:tcMar>
            <w:vAlign w:val="center"/>
          </w:tcPr>
          <w:p>
            <w:pPr>
              <w:widowControl/>
              <w:textAlignment w:val="center"/>
              <w:rPr>
                <w:rFonts w:ascii="仿宋_GB2312" w:hAnsi="Times New Roman" w:eastAsia="仿宋_GB2312" w:cs="宋体"/>
                <w:color w:val="333333"/>
                <w:sz w:val="20"/>
                <w:szCs w:val="20"/>
              </w:rPr>
            </w:pPr>
            <w:r>
              <w:rPr>
                <w:rFonts w:hint="eastAsia" w:ascii="仿宋_GB2312" w:hAnsi="Times New Roman" w:eastAsia="仿宋_GB2312" w:cs="宋体"/>
                <w:color w:val="333333"/>
                <w:sz w:val="20"/>
                <w:szCs w:val="20"/>
              </w:rPr>
              <w:t>各街道，各部门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cantSplit/>
          <w:trHeight w:val="567" w:hRule="atLeast"/>
          <w:jc w:val="center"/>
        </w:trPr>
        <w:tc>
          <w:tcPr>
            <w:tcW w:w="11749" w:type="dxa"/>
            <w:gridSpan w:val="4"/>
            <w:tcBorders>
              <w:top w:val="nil"/>
              <w:left w:val="single" w:color="000000" w:sz="8" w:space="0"/>
              <w:bottom w:val="single" w:color="000000" w:sz="8" w:space="0"/>
              <w:right w:val="single" w:color="000000" w:sz="8" w:space="0"/>
            </w:tcBorders>
            <w:shd w:val="clear" w:color="auto" w:fill="FFFFFF"/>
            <w:tcMar>
              <w:left w:w="108" w:type="dxa"/>
              <w:right w:w="108" w:type="dxa"/>
            </w:tcMar>
            <w:vAlign w:val="center"/>
          </w:tcPr>
          <w:p>
            <w:pPr>
              <w:widowControl/>
              <w:textAlignment w:val="center"/>
              <w:rPr>
                <w:rFonts w:ascii="仿宋_GB2312" w:hAnsi="Times New Roman" w:eastAsia="仿宋_GB2312" w:cs="宋体"/>
                <w:color w:val="333333"/>
                <w:sz w:val="20"/>
                <w:szCs w:val="20"/>
              </w:rPr>
            </w:pPr>
            <w:r>
              <w:rPr>
                <w:rFonts w:hint="eastAsia" w:ascii="仿宋_GB2312" w:hAnsi="Times New Roman" w:eastAsia="仿宋_GB2312" w:cs="宋体"/>
                <w:color w:val="333333"/>
                <w:sz w:val="20"/>
                <w:szCs w:val="20"/>
              </w:rPr>
              <w:t>（二）完善政务公开平台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cantSplit/>
          <w:trHeight w:val="3453" w:hRule="atLeast"/>
          <w:jc w:val="center"/>
        </w:trPr>
        <w:tc>
          <w:tcPr>
            <w:tcW w:w="3636" w:type="dxa"/>
            <w:tcBorders>
              <w:top w:val="nil"/>
              <w:left w:val="single" w:color="000000" w:sz="8" w:space="0"/>
              <w:bottom w:val="single" w:color="000000" w:sz="8" w:space="0"/>
              <w:right w:val="single" w:color="000000" w:sz="8" w:space="0"/>
            </w:tcBorders>
            <w:shd w:val="clear" w:color="auto" w:fill="FFFFFF"/>
            <w:tcMar>
              <w:left w:w="108" w:type="dxa"/>
              <w:right w:w="108" w:type="dxa"/>
            </w:tcMar>
            <w:vAlign w:val="center"/>
          </w:tcPr>
          <w:p>
            <w:pPr>
              <w:widowControl/>
              <w:textAlignment w:val="center"/>
              <w:rPr>
                <w:rFonts w:ascii="仿宋_GB2312" w:hAnsi="Times New Roman" w:eastAsia="仿宋_GB2312" w:cs="宋体"/>
                <w:color w:val="333333"/>
                <w:sz w:val="20"/>
                <w:szCs w:val="20"/>
              </w:rPr>
            </w:pPr>
            <w:r>
              <w:rPr>
                <w:rFonts w:ascii="仿宋_GB2312" w:hAnsi="Times New Roman" w:eastAsia="仿宋_GB2312" w:cs="宋体"/>
                <w:color w:val="333333"/>
                <w:sz w:val="20"/>
                <w:szCs w:val="20"/>
              </w:rPr>
              <w:t>25.</w:t>
            </w:r>
            <w:r>
              <w:rPr>
                <w:rFonts w:hint="eastAsia" w:ascii="仿宋_GB2312" w:hAnsi="Times New Roman" w:eastAsia="仿宋_GB2312" w:cs="宋体"/>
                <w:color w:val="333333"/>
                <w:sz w:val="20"/>
                <w:szCs w:val="20"/>
              </w:rPr>
              <w:t>进一步提升政府网站集约化建设水平。</w:t>
            </w:r>
          </w:p>
        </w:tc>
        <w:tc>
          <w:tcPr>
            <w:tcW w:w="3956" w:type="dxa"/>
            <w:tcBorders>
              <w:top w:val="single" w:color="000000" w:sz="8" w:space="0"/>
              <w:left w:val="nil"/>
              <w:bottom w:val="single" w:color="000000" w:sz="8" w:space="0"/>
              <w:right w:val="single" w:color="000000" w:sz="8" w:space="0"/>
            </w:tcBorders>
            <w:shd w:val="clear" w:color="auto" w:fill="FFFFFF"/>
            <w:tcMar>
              <w:left w:w="108" w:type="dxa"/>
              <w:right w:w="108" w:type="dxa"/>
            </w:tcMar>
            <w:vAlign w:val="center"/>
          </w:tcPr>
          <w:p>
            <w:pPr>
              <w:widowControl/>
              <w:textAlignment w:val="center"/>
              <w:rPr>
                <w:rFonts w:ascii="仿宋_GB2312" w:hAnsi="Times New Roman" w:eastAsia="仿宋_GB2312" w:cs="宋体"/>
                <w:color w:val="333333"/>
                <w:sz w:val="20"/>
                <w:szCs w:val="20"/>
              </w:rPr>
            </w:pPr>
            <w:r>
              <w:rPr>
                <w:rFonts w:hint="eastAsia" w:ascii="仿宋_GB2312" w:hAnsi="Times New Roman" w:eastAsia="仿宋_GB2312" w:cs="宋体"/>
                <w:color w:val="333333"/>
                <w:sz w:val="20"/>
                <w:szCs w:val="20"/>
              </w:rPr>
              <w:t>强化数字赋能，构建网上政府的数据底座，推动政务公开、办事服务、政民互动等板块数据贯通，加强网站智能检索、智能问答等功能，打造标准统一、分级维护、内容丰富、数据共享的政务知识库，实现一网可查、一网可答。对政府门户网站政府信息公开专栏建设情况开展专项检查。推进政府公报数字化利用和传播。</w:t>
            </w:r>
          </w:p>
        </w:tc>
        <w:tc>
          <w:tcPr>
            <w:tcW w:w="1656" w:type="dxa"/>
            <w:tcBorders>
              <w:top w:val="single" w:color="000000" w:sz="8" w:space="0"/>
              <w:left w:val="nil"/>
              <w:bottom w:val="single" w:color="000000" w:sz="8" w:space="0"/>
              <w:right w:val="single" w:color="000000" w:sz="8" w:space="0"/>
            </w:tcBorders>
            <w:shd w:val="clear" w:color="auto" w:fill="FFFFFF"/>
            <w:tcMar>
              <w:left w:w="108" w:type="dxa"/>
              <w:right w:w="108" w:type="dxa"/>
            </w:tcMar>
            <w:vAlign w:val="center"/>
          </w:tcPr>
          <w:p>
            <w:pPr>
              <w:widowControl/>
              <w:jc w:val="center"/>
              <w:textAlignment w:val="center"/>
              <w:rPr>
                <w:rFonts w:ascii="仿宋_GB2312" w:hAnsi="Times New Roman" w:eastAsia="仿宋_GB2312" w:cs="宋体"/>
                <w:color w:val="333333"/>
                <w:sz w:val="20"/>
                <w:szCs w:val="20"/>
              </w:rPr>
            </w:pPr>
            <w:r>
              <w:rPr>
                <w:rFonts w:hint="eastAsia" w:ascii="仿宋_GB2312" w:hAnsi="Times New Roman" w:eastAsia="仿宋_GB2312" w:cs="宋体"/>
                <w:color w:val="333333"/>
                <w:sz w:val="20"/>
                <w:szCs w:val="20"/>
              </w:rPr>
              <w:t>区审批管理局</w:t>
            </w:r>
          </w:p>
          <w:p>
            <w:pPr>
              <w:widowControl/>
              <w:jc w:val="center"/>
              <w:textAlignment w:val="center"/>
              <w:rPr>
                <w:rFonts w:ascii="仿宋_GB2312" w:hAnsi="Times New Roman" w:eastAsia="仿宋_GB2312" w:cs="宋体"/>
                <w:color w:val="333333"/>
                <w:sz w:val="20"/>
                <w:szCs w:val="20"/>
              </w:rPr>
            </w:pPr>
            <w:r>
              <w:rPr>
                <w:rFonts w:hint="eastAsia" w:ascii="仿宋_GB2312" w:hAnsi="Times New Roman" w:eastAsia="仿宋_GB2312" w:cs="宋体"/>
                <w:color w:val="333333"/>
                <w:sz w:val="20"/>
                <w:szCs w:val="20"/>
              </w:rPr>
              <w:t>区政务信息中心</w:t>
            </w:r>
          </w:p>
        </w:tc>
        <w:tc>
          <w:tcPr>
            <w:tcW w:w="2501" w:type="dxa"/>
            <w:tcBorders>
              <w:top w:val="single" w:color="000000" w:sz="8" w:space="0"/>
              <w:left w:val="nil"/>
              <w:bottom w:val="single" w:color="000000" w:sz="8" w:space="0"/>
              <w:right w:val="single" w:color="000000" w:sz="8" w:space="0"/>
            </w:tcBorders>
            <w:shd w:val="clear" w:color="auto" w:fill="FFFFFF"/>
            <w:tcMar>
              <w:left w:w="108" w:type="dxa"/>
              <w:right w:w="108" w:type="dxa"/>
            </w:tcMar>
            <w:vAlign w:val="center"/>
          </w:tcPr>
          <w:p>
            <w:pPr>
              <w:widowControl/>
              <w:textAlignment w:val="center"/>
              <w:rPr>
                <w:rFonts w:ascii="仿宋_GB2312" w:hAnsi="Times New Roman" w:eastAsia="仿宋_GB2312" w:cs="宋体"/>
                <w:color w:val="333333"/>
                <w:sz w:val="20"/>
                <w:szCs w:val="20"/>
              </w:rPr>
            </w:pPr>
            <w:r>
              <w:rPr>
                <w:rFonts w:hint="eastAsia" w:ascii="仿宋_GB2312" w:hAnsi="Times New Roman" w:eastAsia="仿宋_GB2312" w:cs="宋体"/>
                <w:color w:val="333333"/>
                <w:sz w:val="20"/>
                <w:szCs w:val="20"/>
              </w:rPr>
              <w:t>各街道，各部门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cantSplit/>
          <w:trHeight w:val="3517" w:hRule="atLeast"/>
          <w:jc w:val="center"/>
        </w:trPr>
        <w:tc>
          <w:tcPr>
            <w:tcW w:w="3636" w:type="dxa"/>
            <w:tcBorders>
              <w:top w:val="nil"/>
              <w:left w:val="single" w:color="000000" w:sz="8" w:space="0"/>
              <w:bottom w:val="single" w:color="000000" w:sz="8" w:space="0"/>
              <w:right w:val="single" w:color="000000" w:sz="8" w:space="0"/>
            </w:tcBorders>
            <w:shd w:val="clear" w:color="auto" w:fill="FFFFFF"/>
            <w:tcMar>
              <w:left w:w="108" w:type="dxa"/>
              <w:right w:w="108" w:type="dxa"/>
            </w:tcMar>
            <w:vAlign w:val="center"/>
          </w:tcPr>
          <w:p>
            <w:pPr>
              <w:widowControl/>
              <w:textAlignment w:val="center"/>
              <w:rPr>
                <w:rFonts w:ascii="仿宋_GB2312" w:hAnsi="Times New Roman" w:eastAsia="仿宋_GB2312" w:cs="宋体"/>
                <w:color w:val="333333"/>
                <w:sz w:val="20"/>
                <w:szCs w:val="20"/>
              </w:rPr>
            </w:pPr>
            <w:r>
              <w:rPr>
                <w:rFonts w:ascii="仿宋_GB2312" w:hAnsi="Times New Roman" w:eastAsia="仿宋_GB2312" w:cs="宋体"/>
                <w:color w:val="333333"/>
                <w:sz w:val="20"/>
                <w:szCs w:val="20"/>
              </w:rPr>
              <w:t>26.</w:t>
            </w:r>
            <w:r>
              <w:rPr>
                <w:rFonts w:hint="eastAsia" w:ascii="仿宋_GB2312" w:hAnsi="Times New Roman" w:eastAsia="仿宋_GB2312" w:cs="宋体"/>
                <w:color w:val="333333"/>
                <w:sz w:val="20"/>
                <w:szCs w:val="20"/>
              </w:rPr>
              <w:t>健全政务新媒体监管机制。</w:t>
            </w:r>
          </w:p>
        </w:tc>
        <w:tc>
          <w:tcPr>
            <w:tcW w:w="3956" w:type="dxa"/>
            <w:tcBorders>
              <w:top w:val="nil"/>
              <w:left w:val="nil"/>
              <w:bottom w:val="single" w:color="000000" w:sz="8" w:space="0"/>
              <w:right w:val="single" w:color="000000" w:sz="8" w:space="0"/>
            </w:tcBorders>
            <w:shd w:val="clear" w:color="auto" w:fill="FFFFFF"/>
            <w:tcMar>
              <w:left w:w="108" w:type="dxa"/>
              <w:right w:w="108" w:type="dxa"/>
            </w:tcMar>
            <w:vAlign w:val="center"/>
          </w:tcPr>
          <w:p>
            <w:pPr>
              <w:widowControl/>
              <w:textAlignment w:val="center"/>
              <w:rPr>
                <w:rFonts w:ascii="仿宋_GB2312" w:hAnsi="Times New Roman" w:eastAsia="仿宋_GB2312" w:cs="宋体"/>
                <w:color w:val="333333"/>
                <w:sz w:val="20"/>
                <w:szCs w:val="20"/>
              </w:rPr>
            </w:pPr>
            <w:r>
              <w:rPr>
                <w:rFonts w:hint="eastAsia" w:ascii="仿宋_GB2312" w:hAnsi="Times New Roman" w:eastAsia="仿宋_GB2312" w:cs="宋体"/>
                <w:color w:val="333333"/>
                <w:sz w:val="20"/>
                <w:szCs w:val="20"/>
              </w:rPr>
              <w:t>针对政务新媒体建设存在的薄弱环节有序开展清理整合，严格落实主管主办责任，加强政务新媒体运营专业能力建设，加大政务新媒体对政府公报、重要政策及其解读等政府权威信息的推送力度，畅通政民互动渠道，强化办事服务功能，做好信息发布的前置风险识别和实时监测，实现权威发布、精准回应、利企便民。</w:t>
            </w:r>
          </w:p>
        </w:tc>
        <w:tc>
          <w:tcPr>
            <w:tcW w:w="1656" w:type="dxa"/>
            <w:tcBorders>
              <w:top w:val="nil"/>
              <w:left w:val="nil"/>
              <w:bottom w:val="single" w:color="000000" w:sz="8" w:space="0"/>
              <w:right w:val="single" w:color="000000" w:sz="8" w:space="0"/>
            </w:tcBorders>
            <w:shd w:val="clear" w:color="auto" w:fill="FFFFFF"/>
            <w:tcMar>
              <w:left w:w="108" w:type="dxa"/>
              <w:right w:w="108" w:type="dxa"/>
            </w:tcMar>
            <w:vAlign w:val="center"/>
          </w:tcPr>
          <w:p>
            <w:pPr>
              <w:widowControl/>
              <w:jc w:val="center"/>
              <w:textAlignment w:val="center"/>
              <w:rPr>
                <w:rFonts w:ascii="仿宋_GB2312" w:hAnsi="Times New Roman" w:eastAsia="仿宋_GB2312" w:cs="宋体"/>
                <w:color w:val="333333"/>
                <w:sz w:val="20"/>
                <w:szCs w:val="20"/>
              </w:rPr>
            </w:pPr>
            <w:r>
              <w:rPr>
                <w:rFonts w:hint="eastAsia" w:ascii="仿宋_GB2312" w:hAnsi="Times New Roman" w:eastAsia="仿宋_GB2312" w:cs="宋体"/>
                <w:color w:val="333333"/>
                <w:sz w:val="20"/>
                <w:szCs w:val="20"/>
              </w:rPr>
              <w:t>区委网信办</w:t>
            </w:r>
          </w:p>
          <w:p>
            <w:pPr>
              <w:widowControl/>
              <w:jc w:val="center"/>
              <w:textAlignment w:val="center"/>
              <w:rPr>
                <w:rFonts w:ascii="仿宋_GB2312" w:hAnsi="Times New Roman" w:eastAsia="仿宋_GB2312" w:cs="宋体"/>
                <w:color w:val="333333"/>
                <w:sz w:val="20"/>
                <w:szCs w:val="20"/>
              </w:rPr>
            </w:pPr>
            <w:r>
              <w:rPr>
                <w:rFonts w:hint="eastAsia" w:ascii="仿宋_GB2312" w:hAnsi="Times New Roman" w:eastAsia="仿宋_GB2312" w:cs="宋体"/>
                <w:color w:val="333333"/>
                <w:sz w:val="20"/>
                <w:szCs w:val="20"/>
              </w:rPr>
              <w:t>区政务信息中心</w:t>
            </w:r>
          </w:p>
          <w:p>
            <w:pPr>
              <w:widowControl/>
              <w:jc w:val="center"/>
              <w:textAlignment w:val="center"/>
              <w:rPr>
                <w:rFonts w:ascii="仿宋_GB2312" w:hAnsi="Times New Roman" w:eastAsia="仿宋_GB2312" w:cs="宋体"/>
                <w:color w:val="333333"/>
                <w:sz w:val="20"/>
                <w:szCs w:val="20"/>
              </w:rPr>
            </w:pPr>
          </w:p>
        </w:tc>
        <w:tc>
          <w:tcPr>
            <w:tcW w:w="2501" w:type="dxa"/>
            <w:tcBorders>
              <w:top w:val="nil"/>
              <w:left w:val="nil"/>
              <w:bottom w:val="single" w:color="000000" w:sz="8" w:space="0"/>
              <w:right w:val="single" w:color="000000" w:sz="8" w:space="0"/>
            </w:tcBorders>
            <w:shd w:val="clear" w:color="auto" w:fill="FFFFFF"/>
            <w:tcMar>
              <w:left w:w="108" w:type="dxa"/>
              <w:right w:w="108" w:type="dxa"/>
            </w:tcMar>
            <w:vAlign w:val="center"/>
          </w:tcPr>
          <w:p>
            <w:pPr>
              <w:widowControl/>
              <w:textAlignment w:val="center"/>
              <w:rPr>
                <w:rFonts w:ascii="仿宋_GB2312" w:hAnsi="Times New Roman" w:eastAsia="仿宋_GB2312" w:cs="宋体"/>
                <w:color w:val="333333"/>
                <w:sz w:val="20"/>
                <w:szCs w:val="20"/>
              </w:rPr>
            </w:pPr>
            <w:r>
              <w:rPr>
                <w:rFonts w:hint="eastAsia" w:ascii="仿宋_GB2312" w:hAnsi="Times New Roman" w:eastAsia="仿宋_GB2312" w:cs="宋体"/>
                <w:color w:val="333333"/>
                <w:sz w:val="20"/>
                <w:szCs w:val="20"/>
              </w:rPr>
              <w:t>各街道，各部门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cantSplit/>
          <w:trHeight w:val="1800" w:hRule="atLeast"/>
          <w:jc w:val="center"/>
        </w:trPr>
        <w:tc>
          <w:tcPr>
            <w:tcW w:w="3636" w:type="dxa"/>
            <w:tcBorders>
              <w:top w:val="nil"/>
              <w:left w:val="single" w:color="000000" w:sz="8" w:space="0"/>
              <w:bottom w:val="single" w:color="000000" w:sz="8" w:space="0"/>
              <w:right w:val="single" w:color="000000" w:sz="8" w:space="0"/>
            </w:tcBorders>
            <w:shd w:val="clear" w:color="auto" w:fill="FFFFFF"/>
            <w:tcMar>
              <w:left w:w="108" w:type="dxa"/>
              <w:right w:w="108" w:type="dxa"/>
            </w:tcMar>
            <w:vAlign w:val="center"/>
          </w:tcPr>
          <w:p>
            <w:pPr>
              <w:widowControl/>
              <w:textAlignment w:val="center"/>
              <w:rPr>
                <w:rFonts w:ascii="仿宋_GB2312" w:hAnsi="Times New Roman" w:eastAsia="仿宋_GB2312" w:cs="宋体"/>
                <w:color w:val="333333"/>
                <w:sz w:val="20"/>
                <w:szCs w:val="20"/>
              </w:rPr>
            </w:pPr>
            <w:r>
              <w:rPr>
                <w:rFonts w:ascii="仿宋_GB2312" w:hAnsi="Times New Roman" w:eastAsia="仿宋_GB2312" w:cs="宋体"/>
                <w:color w:val="333333"/>
                <w:sz w:val="20"/>
                <w:szCs w:val="20"/>
              </w:rPr>
              <w:t>27.</w:t>
            </w:r>
            <w:r>
              <w:rPr>
                <w:rFonts w:hint="eastAsia" w:ascii="仿宋_GB2312" w:hAnsi="Times New Roman" w:eastAsia="仿宋_GB2312" w:cs="宋体"/>
                <w:color w:val="333333"/>
                <w:sz w:val="20"/>
                <w:szCs w:val="20"/>
              </w:rPr>
              <w:t>开展政府信息公开专栏建设情况专项检查。</w:t>
            </w:r>
          </w:p>
        </w:tc>
        <w:tc>
          <w:tcPr>
            <w:tcW w:w="3956" w:type="dxa"/>
            <w:tcBorders>
              <w:top w:val="nil"/>
              <w:left w:val="nil"/>
              <w:bottom w:val="single" w:color="000000" w:sz="8" w:space="0"/>
              <w:right w:val="single" w:color="000000" w:sz="8" w:space="0"/>
            </w:tcBorders>
            <w:shd w:val="clear" w:color="auto" w:fill="FFFFFF"/>
            <w:tcMar>
              <w:left w:w="108" w:type="dxa"/>
              <w:right w:w="108" w:type="dxa"/>
            </w:tcMar>
            <w:vAlign w:val="center"/>
          </w:tcPr>
          <w:p>
            <w:pPr>
              <w:widowControl/>
              <w:textAlignment w:val="center"/>
              <w:rPr>
                <w:rFonts w:ascii="仿宋_GB2312" w:hAnsi="Times New Roman" w:eastAsia="仿宋_GB2312" w:cs="宋体"/>
                <w:color w:val="333333"/>
                <w:sz w:val="20"/>
                <w:szCs w:val="20"/>
              </w:rPr>
            </w:pPr>
            <w:r>
              <w:rPr>
                <w:rFonts w:hint="eastAsia" w:ascii="仿宋_GB2312" w:hAnsi="Times New Roman" w:eastAsia="仿宋_GB2312" w:cs="宋体"/>
                <w:color w:val="333333"/>
                <w:sz w:val="20"/>
                <w:szCs w:val="20"/>
              </w:rPr>
              <w:t>进一步规范政府信息公开专栏，统一名称和格式，实现法定内容全部公开到位。对未按要求完成的，依据有关规定督促整改、通报批评。</w:t>
            </w:r>
          </w:p>
        </w:tc>
        <w:tc>
          <w:tcPr>
            <w:tcW w:w="1656" w:type="dxa"/>
            <w:tcBorders>
              <w:top w:val="nil"/>
              <w:left w:val="nil"/>
              <w:bottom w:val="single" w:color="000000" w:sz="8" w:space="0"/>
              <w:right w:val="single" w:color="000000" w:sz="8" w:space="0"/>
            </w:tcBorders>
            <w:shd w:val="clear" w:color="auto" w:fill="FFFFFF"/>
            <w:tcMar>
              <w:left w:w="108" w:type="dxa"/>
              <w:right w:w="108" w:type="dxa"/>
            </w:tcMar>
            <w:vAlign w:val="center"/>
          </w:tcPr>
          <w:p>
            <w:pPr>
              <w:widowControl/>
              <w:jc w:val="center"/>
              <w:textAlignment w:val="center"/>
              <w:rPr>
                <w:rFonts w:ascii="仿宋_GB2312" w:hAnsi="Times New Roman" w:eastAsia="仿宋_GB2312" w:cs="宋体"/>
                <w:color w:val="333333"/>
                <w:sz w:val="20"/>
                <w:szCs w:val="20"/>
              </w:rPr>
            </w:pPr>
            <w:r>
              <w:rPr>
                <w:rFonts w:hint="eastAsia" w:ascii="仿宋_GB2312" w:hAnsi="Times New Roman" w:eastAsia="仿宋_GB2312" w:cs="宋体"/>
                <w:color w:val="333333"/>
                <w:sz w:val="20"/>
                <w:szCs w:val="20"/>
              </w:rPr>
              <w:t>区政府办</w:t>
            </w:r>
          </w:p>
          <w:p>
            <w:pPr>
              <w:widowControl/>
              <w:jc w:val="center"/>
              <w:textAlignment w:val="center"/>
              <w:rPr>
                <w:rFonts w:ascii="仿宋_GB2312" w:hAnsi="Times New Roman" w:eastAsia="仿宋_GB2312" w:cs="宋体"/>
                <w:color w:val="333333"/>
                <w:sz w:val="20"/>
                <w:szCs w:val="20"/>
              </w:rPr>
            </w:pPr>
            <w:r>
              <w:rPr>
                <w:rFonts w:hint="eastAsia" w:ascii="仿宋_GB2312" w:hAnsi="Times New Roman" w:eastAsia="仿宋_GB2312" w:cs="宋体"/>
                <w:color w:val="333333"/>
                <w:sz w:val="20"/>
                <w:szCs w:val="20"/>
              </w:rPr>
              <w:t>区政务信息中心</w:t>
            </w:r>
          </w:p>
        </w:tc>
        <w:tc>
          <w:tcPr>
            <w:tcW w:w="2501" w:type="dxa"/>
            <w:tcBorders>
              <w:top w:val="nil"/>
              <w:left w:val="nil"/>
              <w:bottom w:val="single" w:color="000000" w:sz="8" w:space="0"/>
              <w:right w:val="single" w:color="000000" w:sz="8" w:space="0"/>
            </w:tcBorders>
            <w:shd w:val="clear" w:color="auto" w:fill="FFFFFF"/>
            <w:tcMar>
              <w:left w:w="108" w:type="dxa"/>
              <w:right w:w="108" w:type="dxa"/>
            </w:tcMar>
            <w:vAlign w:val="center"/>
          </w:tcPr>
          <w:p>
            <w:pPr>
              <w:widowControl/>
              <w:textAlignment w:val="center"/>
              <w:rPr>
                <w:rFonts w:ascii="仿宋_GB2312" w:hAnsi="Times New Roman" w:eastAsia="仿宋_GB2312" w:cs="宋体"/>
                <w:color w:val="333333"/>
                <w:sz w:val="20"/>
                <w:szCs w:val="20"/>
              </w:rPr>
            </w:pPr>
            <w:r>
              <w:rPr>
                <w:rFonts w:hint="eastAsia" w:ascii="仿宋_GB2312" w:hAnsi="Times New Roman" w:eastAsia="仿宋_GB2312" w:cs="宋体"/>
                <w:color w:val="333333"/>
                <w:sz w:val="20"/>
                <w:szCs w:val="20"/>
              </w:rPr>
              <w:t>各街道，各部门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cantSplit/>
          <w:trHeight w:val="1690" w:hRule="atLeast"/>
          <w:jc w:val="center"/>
        </w:trPr>
        <w:tc>
          <w:tcPr>
            <w:tcW w:w="3636" w:type="dxa"/>
            <w:tcBorders>
              <w:top w:val="nil"/>
              <w:left w:val="single" w:color="000000" w:sz="8" w:space="0"/>
              <w:bottom w:val="single" w:color="000000" w:sz="8" w:space="0"/>
              <w:right w:val="single" w:color="000000" w:sz="8" w:space="0"/>
            </w:tcBorders>
            <w:shd w:val="clear" w:color="auto" w:fill="FFFFFF"/>
            <w:tcMar>
              <w:left w:w="108" w:type="dxa"/>
              <w:right w:w="108" w:type="dxa"/>
            </w:tcMar>
            <w:vAlign w:val="center"/>
          </w:tcPr>
          <w:p>
            <w:pPr>
              <w:widowControl/>
              <w:textAlignment w:val="center"/>
              <w:rPr>
                <w:rFonts w:ascii="仿宋_GB2312" w:hAnsi="Times New Roman" w:eastAsia="仿宋_GB2312" w:cs="宋体"/>
                <w:color w:val="333333"/>
                <w:sz w:val="20"/>
                <w:szCs w:val="20"/>
              </w:rPr>
            </w:pPr>
            <w:r>
              <w:rPr>
                <w:rFonts w:ascii="仿宋_GB2312" w:hAnsi="Times New Roman" w:eastAsia="仿宋_GB2312" w:cs="宋体"/>
                <w:color w:val="333333"/>
                <w:sz w:val="20"/>
                <w:szCs w:val="20"/>
              </w:rPr>
              <w:t>28.</w:t>
            </w:r>
            <w:r>
              <w:rPr>
                <w:rFonts w:hint="eastAsia" w:ascii="仿宋_GB2312" w:hAnsi="Times New Roman" w:eastAsia="仿宋_GB2312" w:cs="宋体"/>
                <w:color w:val="333333"/>
                <w:sz w:val="20"/>
                <w:szCs w:val="20"/>
              </w:rPr>
              <w:t>办好政府公报。</w:t>
            </w:r>
          </w:p>
        </w:tc>
        <w:tc>
          <w:tcPr>
            <w:tcW w:w="3956" w:type="dxa"/>
            <w:tcBorders>
              <w:top w:val="nil"/>
              <w:left w:val="nil"/>
              <w:bottom w:val="single" w:color="000000" w:sz="8" w:space="0"/>
              <w:right w:val="single" w:color="000000" w:sz="8" w:space="0"/>
            </w:tcBorders>
            <w:shd w:val="clear" w:color="auto" w:fill="FFFFFF"/>
            <w:tcMar>
              <w:left w:w="108" w:type="dxa"/>
              <w:right w:w="108" w:type="dxa"/>
            </w:tcMar>
            <w:vAlign w:val="center"/>
          </w:tcPr>
          <w:p>
            <w:pPr>
              <w:widowControl/>
              <w:textAlignment w:val="center"/>
              <w:rPr>
                <w:rFonts w:ascii="仿宋_GB2312" w:hAnsi="Times New Roman" w:eastAsia="仿宋_GB2312" w:cs="宋体"/>
                <w:color w:val="333333"/>
                <w:sz w:val="20"/>
                <w:szCs w:val="20"/>
              </w:rPr>
            </w:pPr>
            <w:r>
              <w:rPr>
                <w:rFonts w:hint="eastAsia" w:ascii="仿宋_GB2312" w:hAnsi="Times New Roman" w:eastAsia="仿宋_GB2312" w:cs="宋体"/>
                <w:color w:val="333333"/>
                <w:sz w:val="20"/>
                <w:szCs w:val="20"/>
              </w:rPr>
              <w:t>进一步完善政府公报数据库，推进数字化利用，通过政务新媒体等渠道加强政府公报内容传播。</w:t>
            </w:r>
          </w:p>
        </w:tc>
        <w:tc>
          <w:tcPr>
            <w:tcW w:w="1656" w:type="dxa"/>
            <w:tcBorders>
              <w:top w:val="nil"/>
              <w:left w:val="nil"/>
              <w:bottom w:val="single" w:color="000000" w:sz="8" w:space="0"/>
              <w:right w:val="single" w:color="000000" w:sz="8" w:space="0"/>
            </w:tcBorders>
            <w:shd w:val="clear" w:color="auto" w:fill="FFFFFF"/>
            <w:tcMar>
              <w:left w:w="108" w:type="dxa"/>
              <w:right w:w="108" w:type="dxa"/>
            </w:tcMar>
            <w:vAlign w:val="center"/>
          </w:tcPr>
          <w:p>
            <w:pPr>
              <w:widowControl/>
              <w:jc w:val="center"/>
              <w:textAlignment w:val="center"/>
              <w:rPr>
                <w:rFonts w:ascii="仿宋_GB2312" w:hAnsi="Times New Roman" w:eastAsia="仿宋_GB2312" w:cs="宋体"/>
                <w:color w:val="333333"/>
                <w:sz w:val="20"/>
                <w:szCs w:val="20"/>
              </w:rPr>
            </w:pPr>
          </w:p>
        </w:tc>
        <w:tc>
          <w:tcPr>
            <w:tcW w:w="2501" w:type="dxa"/>
            <w:tcBorders>
              <w:top w:val="nil"/>
              <w:left w:val="nil"/>
              <w:bottom w:val="single" w:color="000000" w:sz="8" w:space="0"/>
              <w:right w:val="single" w:color="000000" w:sz="8" w:space="0"/>
            </w:tcBorders>
            <w:shd w:val="clear" w:color="auto" w:fill="FFFFFF"/>
            <w:tcMar>
              <w:left w:w="108" w:type="dxa"/>
              <w:right w:w="108" w:type="dxa"/>
            </w:tcMar>
            <w:vAlign w:val="center"/>
          </w:tcPr>
          <w:p>
            <w:pPr>
              <w:widowControl/>
              <w:textAlignment w:val="center"/>
              <w:rPr>
                <w:rFonts w:ascii="仿宋_GB2312" w:hAnsi="Times New Roman" w:eastAsia="仿宋_GB2312" w:cs="宋体"/>
                <w:color w:val="333333"/>
                <w:sz w:val="20"/>
                <w:szCs w:val="20"/>
              </w:rPr>
            </w:pPr>
            <w:r>
              <w:rPr>
                <w:rFonts w:hint="eastAsia" w:ascii="仿宋_GB2312" w:hAnsi="Times New Roman" w:eastAsia="仿宋_GB2312" w:cs="宋体"/>
                <w:color w:val="333333"/>
                <w:sz w:val="20"/>
                <w:szCs w:val="20"/>
              </w:rPr>
              <w:t>区政府办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cantSplit/>
          <w:trHeight w:val="542" w:hRule="atLeast"/>
          <w:jc w:val="center"/>
        </w:trPr>
        <w:tc>
          <w:tcPr>
            <w:tcW w:w="11749" w:type="dxa"/>
            <w:gridSpan w:val="4"/>
            <w:tcBorders>
              <w:top w:val="nil"/>
              <w:left w:val="single" w:color="000000" w:sz="8" w:space="0"/>
              <w:bottom w:val="single" w:color="000000" w:sz="8" w:space="0"/>
              <w:right w:val="single" w:color="000000" w:sz="8" w:space="0"/>
            </w:tcBorders>
            <w:shd w:val="clear" w:color="auto" w:fill="FFFFFF"/>
            <w:tcMar>
              <w:left w:w="108" w:type="dxa"/>
              <w:right w:w="108" w:type="dxa"/>
            </w:tcMar>
            <w:vAlign w:val="center"/>
          </w:tcPr>
          <w:p>
            <w:pPr>
              <w:widowControl/>
              <w:textAlignment w:val="center"/>
              <w:rPr>
                <w:rFonts w:ascii="仿宋_GB2312" w:hAnsi="Times New Roman" w:eastAsia="仿宋_GB2312" w:cs="宋体"/>
                <w:color w:val="333333"/>
                <w:sz w:val="20"/>
                <w:szCs w:val="20"/>
              </w:rPr>
            </w:pPr>
            <w:r>
              <w:rPr>
                <w:rFonts w:hint="eastAsia" w:ascii="仿宋_GB2312" w:hAnsi="Times New Roman" w:eastAsia="仿宋_GB2312" w:cs="宋体"/>
                <w:color w:val="333333"/>
                <w:sz w:val="20"/>
                <w:szCs w:val="20"/>
              </w:rPr>
              <w:t>（三）推进基层政务公开标准化规范化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cantSplit/>
          <w:trHeight w:val="1800" w:hRule="atLeast"/>
          <w:jc w:val="center"/>
        </w:trPr>
        <w:tc>
          <w:tcPr>
            <w:tcW w:w="3636" w:type="dxa"/>
            <w:tcBorders>
              <w:top w:val="nil"/>
              <w:left w:val="single" w:color="000000" w:sz="8" w:space="0"/>
              <w:bottom w:val="single" w:color="000000" w:sz="8" w:space="0"/>
              <w:right w:val="single" w:color="000000" w:sz="8" w:space="0"/>
            </w:tcBorders>
            <w:shd w:val="clear" w:color="auto" w:fill="FFFFFF"/>
            <w:tcMar>
              <w:left w:w="108" w:type="dxa"/>
              <w:right w:w="108" w:type="dxa"/>
            </w:tcMar>
            <w:vAlign w:val="center"/>
          </w:tcPr>
          <w:p>
            <w:pPr>
              <w:widowControl/>
              <w:textAlignment w:val="center"/>
              <w:rPr>
                <w:rFonts w:ascii="仿宋_GB2312" w:hAnsi="Times New Roman" w:eastAsia="仿宋_GB2312" w:cs="宋体"/>
                <w:color w:val="333333"/>
                <w:sz w:val="20"/>
                <w:szCs w:val="20"/>
              </w:rPr>
            </w:pPr>
            <w:r>
              <w:rPr>
                <w:rFonts w:ascii="仿宋_GB2312" w:hAnsi="Times New Roman" w:eastAsia="仿宋_GB2312" w:cs="宋体"/>
                <w:color w:val="333333"/>
                <w:sz w:val="20"/>
                <w:szCs w:val="20"/>
              </w:rPr>
              <w:t>29.</w:t>
            </w:r>
            <w:r>
              <w:rPr>
                <w:rFonts w:hint="eastAsia" w:ascii="仿宋_GB2312" w:hAnsi="Times New Roman" w:eastAsia="仿宋_GB2312" w:cs="宋体"/>
                <w:color w:val="333333"/>
                <w:sz w:val="20"/>
                <w:szCs w:val="20"/>
              </w:rPr>
              <w:t>及时完善基层政务公开标准指引。</w:t>
            </w:r>
          </w:p>
        </w:tc>
        <w:tc>
          <w:tcPr>
            <w:tcW w:w="3956" w:type="dxa"/>
            <w:tcBorders>
              <w:top w:val="single" w:color="000000" w:sz="8" w:space="0"/>
              <w:left w:val="nil"/>
              <w:bottom w:val="single" w:color="000000" w:sz="8" w:space="0"/>
              <w:right w:val="single" w:color="000000" w:sz="8" w:space="0"/>
            </w:tcBorders>
            <w:shd w:val="clear" w:color="auto" w:fill="FFFFFF"/>
            <w:tcMar>
              <w:left w:w="108" w:type="dxa"/>
              <w:right w:w="108" w:type="dxa"/>
            </w:tcMar>
            <w:vAlign w:val="center"/>
          </w:tcPr>
          <w:p>
            <w:pPr>
              <w:widowControl/>
              <w:textAlignment w:val="center"/>
              <w:rPr>
                <w:rFonts w:ascii="仿宋_GB2312" w:hAnsi="Times New Roman" w:eastAsia="仿宋_GB2312" w:cs="宋体"/>
                <w:color w:val="333333"/>
                <w:sz w:val="20"/>
                <w:szCs w:val="20"/>
              </w:rPr>
            </w:pPr>
            <w:r>
              <w:rPr>
                <w:rFonts w:hint="eastAsia" w:ascii="仿宋_GB2312" w:hAnsi="Times New Roman" w:eastAsia="仿宋_GB2312" w:cs="宋体"/>
                <w:color w:val="333333"/>
                <w:sz w:val="20"/>
                <w:szCs w:val="20"/>
              </w:rPr>
              <w:t>各相关部门及时跟踪国务院、省政府、市政府部门各领域基层政务公开标准指引出台和调整完善情况，发布（修订）对应领域的区级标准目录（指引）。</w:t>
            </w:r>
          </w:p>
        </w:tc>
        <w:tc>
          <w:tcPr>
            <w:tcW w:w="1656" w:type="dxa"/>
            <w:tcBorders>
              <w:top w:val="single" w:color="000000" w:sz="8" w:space="0"/>
              <w:left w:val="nil"/>
              <w:bottom w:val="single" w:color="000000" w:sz="8" w:space="0"/>
              <w:right w:val="single" w:color="000000" w:sz="8" w:space="0"/>
            </w:tcBorders>
            <w:shd w:val="clear" w:color="auto" w:fill="FFFFFF"/>
            <w:tcMar>
              <w:left w:w="108" w:type="dxa"/>
              <w:right w:w="108" w:type="dxa"/>
            </w:tcMar>
            <w:vAlign w:val="center"/>
          </w:tcPr>
          <w:p>
            <w:pPr>
              <w:widowControl/>
              <w:jc w:val="center"/>
              <w:rPr>
                <w:rFonts w:ascii="仿宋_GB2312" w:hAnsi="Times New Roman" w:eastAsia="仿宋_GB2312" w:cs="宋体"/>
                <w:color w:val="333333"/>
                <w:sz w:val="20"/>
                <w:szCs w:val="20"/>
              </w:rPr>
            </w:pPr>
          </w:p>
        </w:tc>
        <w:tc>
          <w:tcPr>
            <w:tcW w:w="2501" w:type="dxa"/>
            <w:tcBorders>
              <w:top w:val="single" w:color="000000" w:sz="8" w:space="0"/>
              <w:left w:val="nil"/>
              <w:bottom w:val="single" w:color="000000" w:sz="8" w:space="0"/>
              <w:right w:val="single" w:color="000000" w:sz="8" w:space="0"/>
            </w:tcBorders>
            <w:shd w:val="clear" w:color="auto" w:fill="FFFFFF"/>
            <w:tcMar>
              <w:left w:w="108" w:type="dxa"/>
              <w:right w:w="108" w:type="dxa"/>
            </w:tcMar>
            <w:vAlign w:val="center"/>
          </w:tcPr>
          <w:p>
            <w:pPr>
              <w:widowControl/>
              <w:textAlignment w:val="center"/>
              <w:rPr>
                <w:rFonts w:ascii="仿宋_GB2312" w:hAnsi="Times New Roman" w:eastAsia="仿宋_GB2312" w:cs="宋体"/>
                <w:color w:val="333333"/>
                <w:sz w:val="20"/>
                <w:szCs w:val="20"/>
              </w:rPr>
            </w:pPr>
            <w:r>
              <w:rPr>
                <w:rFonts w:hint="eastAsia" w:ascii="仿宋_GB2312" w:hAnsi="Times New Roman" w:eastAsia="仿宋_GB2312" w:cs="宋体"/>
                <w:color w:val="333333"/>
                <w:sz w:val="20"/>
                <w:szCs w:val="20"/>
              </w:rPr>
              <w:t>区发改局、财政局、应急局、民政局、建设局、文旅局、司法局、城管局、人社局、市政园林局、教育局、卫健局，区税务局、市场监管局，思明公安分局，思明生态环境局，市资源规划局直属分局，区征收中心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cantSplit/>
          <w:trHeight w:val="3655" w:hRule="atLeast"/>
          <w:jc w:val="center"/>
        </w:trPr>
        <w:tc>
          <w:tcPr>
            <w:tcW w:w="3636" w:type="dxa"/>
            <w:tcBorders>
              <w:top w:val="nil"/>
              <w:left w:val="single" w:color="000000" w:sz="8" w:space="0"/>
              <w:bottom w:val="single" w:color="000000" w:sz="8" w:space="0"/>
              <w:right w:val="single" w:color="000000" w:sz="8" w:space="0"/>
            </w:tcBorders>
            <w:shd w:val="clear" w:color="auto" w:fill="FFFFFF"/>
            <w:tcMar>
              <w:left w:w="108" w:type="dxa"/>
              <w:right w:w="108" w:type="dxa"/>
            </w:tcMar>
            <w:vAlign w:val="center"/>
          </w:tcPr>
          <w:p>
            <w:pPr>
              <w:widowControl/>
              <w:textAlignment w:val="center"/>
              <w:rPr>
                <w:rFonts w:ascii="仿宋_GB2312" w:hAnsi="Times New Roman" w:eastAsia="仿宋_GB2312" w:cs="宋体"/>
                <w:color w:val="333333"/>
                <w:sz w:val="20"/>
                <w:szCs w:val="20"/>
              </w:rPr>
            </w:pPr>
            <w:r>
              <w:rPr>
                <w:rFonts w:ascii="仿宋_GB2312" w:hAnsi="Times New Roman" w:eastAsia="仿宋_GB2312" w:cs="宋体"/>
                <w:color w:val="333333"/>
                <w:sz w:val="20"/>
                <w:szCs w:val="20"/>
              </w:rPr>
              <w:t>30.</w:t>
            </w:r>
            <w:r>
              <w:rPr>
                <w:rFonts w:hint="eastAsia" w:ascii="仿宋_GB2312" w:hAnsi="Times New Roman" w:eastAsia="仿宋_GB2312" w:cs="宋体"/>
                <w:color w:val="333333"/>
                <w:sz w:val="20"/>
                <w:szCs w:val="20"/>
              </w:rPr>
              <w:t>完善基层政务公开事项标准目录。</w:t>
            </w:r>
          </w:p>
        </w:tc>
        <w:tc>
          <w:tcPr>
            <w:tcW w:w="3956" w:type="dxa"/>
            <w:tcBorders>
              <w:top w:val="nil"/>
              <w:left w:val="nil"/>
              <w:bottom w:val="single" w:color="000000" w:sz="8" w:space="0"/>
              <w:right w:val="single" w:color="000000" w:sz="8" w:space="0"/>
            </w:tcBorders>
            <w:shd w:val="clear" w:color="auto" w:fill="FFFFFF"/>
            <w:tcMar>
              <w:left w:w="108" w:type="dxa"/>
              <w:right w:w="108" w:type="dxa"/>
            </w:tcMar>
            <w:vAlign w:val="center"/>
          </w:tcPr>
          <w:p>
            <w:pPr>
              <w:widowControl/>
              <w:textAlignment w:val="center"/>
              <w:rPr>
                <w:rFonts w:ascii="仿宋_GB2312" w:hAnsi="Times New Roman" w:eastAsia="仿宋_GB2312" w:cs="宋体"/>
                <w:color w:val="333333"/>
                <w:sz w:val="20"/>
                <w:szCs w:val="20"/>
              </w:rPr>
            </w:pPr>
            <w:r>
              <w:rPr>
                <w:rFonts w:hint="eastAsia" w:ascii="仿宋_GB2312" w:hAnsi="Times New Roman" w:eastAsia="仿宋_GB2312" w:cs="宋体"/>
                <w:color w:val="333333"/>
                <w:sz w:val="20"/>
                <w:szCs w:val="20"/>
              </w:rPr>
              <w:t>以群众实际需求为导向，对照上级标准指引，持续对本级政务公开事项标准目录进行优化调整。加强对年度重点工作涉及公开事项的梳理细化，确保标准目录对重点工作全覆盖。强化对已经制定发布的政务公开事项标准目录的应用和监督，探索标准目录和网站主动公开内容的直接对应发布，跟踪评价标准目录实施情况。</w:t>
            </w:r>
          </w:p>
        </w:tc>
        <w:tc>
          <w:tcPr>
            <w:tcW w:w="1656" w:type="dxa"/>
            <w:tcBorders>
              <w:top w:val="nil"/>
              <w:left w:val="nil"/>
              <w:bottom w:val="single" w:color="000000" w:sz="8" w:space="0"/>
              <w:right w:val="single" w:color="000000" w:sz="8" w:space="0"/>
            </w:tcBorders>
            <w:shd w:val="clear" w:color="auto" w:fill="FFFFFF"/>
            <w:tcMar>
              <w:left w:w="108" w:type="dxa"/>
              <w:right w:w="108" w:type="dxa"/>
            </w:tcMar>
            <w:vAlign w:val="center"/>
          </w:tcPr>
          <w:p>
            <w:pPr>
              <w:widowControl/>
              <w:textAlignment w:val="center"/>
              <w:rPr>
                <w:rFonts w:ascii="仿宋_GB2312" w:hAnsi="Times New Roman" w:eastAsia="仿宋_GB2312" w:cs="宋体"/>
                <w:color w:val="333333"/>
                <w:sz w:val="20"/>
                <w:szCs w:val="20"/>
              </w:rPr>
            </w:pPr>
          </w:p>
        </w:tc>
        <w:tc>
          <w:tcPr>
            <w:tcW w:w="2501" w:type="dxa"/>
            <w:tcBorders>
              <w:top w:val="nil"/>
              <w:left w:val="nil"/>
              <w:bottom w:val="single" w:color="000000" w:sz="8" w:space="0"/>
              <w:right w:val="single" w:color="000000" w:sz="8" w:space="0"/>
            </w:tcBorders>
            <w:shd w:val="clear" w:color="auto" w:fill="FFFFFF"/>
            <w:tcMar>
              <w:left w:w="108" w:type="dxa"/>
              <w:right w:w="108" w:type="dxa"/>
            </w:tcMar>
            <w:vAlign w:val="center"/>
          </w:tcPr>
          <w:p>
            <w:pPr>
              <w:widowControl/>
              <w:textAlignment w:val="center"/>
              <w:rPr>
                <w:rFonts w:ascii="仿宋_GB2312" w:hAnsi="Times New Roman" w:eastAsia="仿宋_GB2312" w:cs="宋体"/>
                <w:color w:val="333333"/>
                <w:sz w:val="20"/>
                <w:szCs w:val="20"/>
              </w:rPr>
            </w:pPr>
            <w:r>
              <w:rPr>
                <w:rFonts w:hint="eastAsia" w:ascii="仿宋_GB2312" w:hAnsi="Times New Roman" w:eastAsia="仿宋_GB2312" w:cs="宋体"/>
                <w:color w:val="333333"/>
                <w:sz w:val="20"/>
                <w:szCs w:val="20"/>
              </w:rPr>
              <w:t>各街道，区发改局、财政局、应急局、民政局、建设局、文旅局、司法局、城管局、人社局、市政园林局、教育局、卫健局，区税务局、市场监管局，思明公安分局，思明生态环境局，市资源规划局直属分局，区征收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cantSplit/>
          <w:trHeight w:val="2991" w:hRule="atLeast"/>
          <w:jc w:val="center"/>
        </w:trPr>
        <w:tc>
          <w:tcPr>
            <w:tcW w:w="3636" w:type="dxa"/>
            <w:tcBorders>
              <w:top w:val="nil"/>
              <w:left w:val="single" w:color="000000" w:sz="8" w:space="0"/>
              <w:bottom w:val="single" w:color="000000" w:sz="8" w:space="0"/>
              <w:right w:val="single" w:color="000000" w:sz="8" w:space="0"/>
            </w:tcBorders>
            <w:shd w:val="clear" w:color="auto" w:fill="FFFFFF"/>
            <w:tcMar>
              <w:left w:w="108" w:type="dxa"/>
              <w:right w:w="108" w:type="dxa"/>
            </w:tcMar>
            <w:vAlign w:val="center"/>
          </w:tcPr>
          <w:p>
            <w:pPr>
              <w:widowControl/>
              <w:textAlignment w:val="center"/>
              <w:rPr>
                <w:rFonts w:ascii="仿宋_GB2312" w:hAnsi="Times New Roman" w:eastAsia="仿宋_GB2312" w:cs="宋体"/>
                <w:color w:val="333333"/>
                <w:sz w:val="20"/>
                <w:szCs w:val="20"/>
              </w:rPr>
            </w:pPr>
            <w:r>
              <w:rPr>
                <w:rFonts w:ascii="仿宋_GB2312" w:hAnsi="Times New Roman" w:eastAsia="仿宋_GB2312" w:cs="宋体"/>
                <w:color w:val="333333"/>
                <w:sz w:val="20"/>
                <w:szCs w:val="20"/>
              </w:rPr>
              <w:t>31.</w:t>
            </w:r>
            <w:r>
              <w:rPr>
                <w:rFonts w:hint="eastAsia" w:ascii="仿宋_GB2312" w:hAnsi="Times New Roman" w:eastAsia="仿宋_GB2312" w:cs="宋体"/>
                <w:color w:val="333333"/>
                <w:sz w:val="20"/>
                <w:szCs w:val="20"/>
              </w:rPr>
              <w:t>持续加强基层政府信息公开窗口建设。</w:t>
            </w:r>
          </w:p>
        </w:tc>
        <w:tc>
          <w:tcPr>
            <w:tcW w:w="3956" w:type="dxa"/>
            <w:tcBorders>
              <w:top w:val="nil"/>
              <w:left w:val="nil"/>
              <w:bottom w:val="single" w:color="000000" w:sz="8" w:space="0"/>
              <w:right w:val="single" w:color="000000" w:sz="8" w:space="0"/>
            </w:tcBorders>
            <w:shd w:val="clear" w:color="auto" w:fill="FFFFFF"/>
            <w:tcMar>
              <w:left w:w="108" w:type="dxa"/>
              <w:right w:w="108" w:type="dxa"/>
            </w:tcMar>
            <w:vAlign w:val="center"/>
          </w:tcPr>
          <w:p>
            <w:pPr>
              <w:widowControl/>
              <w:textAlignment w:val="center"/>
              <w:rPr>
                <w:rFonts w:ascii="仿宋_GB2312" w:hAnsi="Times New Roman" w:eastAsia="仿宋_GB2312" w:cs="宋体"/>
                <w:color w:val="333333"/>
                <w:sz w:val="20"/>
                <w:szCs w:val="20"/>
              </w:rPr>
            </w:pPr>
            <w:r>
              <w:rPr>
                <w:rFonts w:hint="eastAsia" w:ascii="仿宋_GB2312" w:hAnsi="Times New Roman" w:eastAsia="仿宋_GB2312" w:cs="宋体"/>
                <w:color w:val="333333"/>
                <w:sz w:val="20"/>
                <w:szCs w:val="20"/>
              </w:rPr>
              <w:t>统筹做好政府信息公开申请接收、政府信息查阅和重要政策现场解读、现场咨询解答等服务。积极开展线下专区建设，在政务服务大厅、便民服务中心等场所设立标识清楚、方便实用的政务公开专区，提供政策查询、办事咨询等便民服务，更好打通政策落实“最后一公里”。</w:t>
            </w:r>
          </w:p>
        </w:tc>
        <w:tc>
          <w:tcPr>
            <w:tcW w:w="1656" w:type="dxa"/>
            <w:tcBorders>
              <w:top w:val="nil"/>
              <w:left w:val="nil"/>
              <w:bottom w:val="single" w:color="000000" w:sz="8" w:space="0"/>
              <w:right w:val="single" w:color="000000" w:sz="8" w:space="0"/>
            </w:tcBorders>
            <w:shd w:val="clear" w:color="auto" w:fill="FFFFFF"/>
            <w:tcMar>
              <w:left w:w="108" w:type="dxa"/>
              <w:right w:w="108" w:type="dxa"/>
            </w:tcMar>
            <w:vAlign w:val="center"/>
          </w:tcPr>
          <w:p>
            <w:pPr>
              <w:widowControl/>
              <w:jc w:val="center"/>
              <w:rPr>
                <w:rFonts w:ascii="仿宋_GB2312" w:hAnsi="Times New Roman" w:eastAsia="仿宋_GB2312" w:cs="宋体"/>
                <w:color w:val="333333"/>
                <w:sz w:val="20"/>
                <w:szCs w:val="20"/>
              </w:rPr>
            </w:pPr>
          </w:p>
        </w:tc>
        <w:tc>
          <w:tcPr>
            <w:tcW w:w="2501" w:type="dxa"/>
            <w:tcBorders>
              <w:top w:val="nil"/>
              <w:left w:val="nil"/>
              <w:bottom w:val="single" w:color="000000" w:sz="8" w:space="0"/>
              <w:right w:val="single" w:color="000000" w:sz="8" w:space="0"/>
            </w:tcBorders>
            <w:shd w:val="clear" w:color="auto" w:fill="FFFFFF"/>
            <w:tcMar>
              <w:left w:w="108" w:type="dxa"/>
              <w:right w:w="108" w:type="dxa"/>
            </w:tcMar>
            <w:vAlign w:val="center"/>
          </w:tcPr>
          <w:p>
            <w:pPr>
              <w:widowControl/>
              <w:textAlignment w:val="center"/>
              <w:rPr>
                <w:rFonts w:ascii="仿宋_GB2312" w:hAnsi="Times New Roman" w:eastAsia="仿宋_GB2312" w:cs="宋体"/>
                <w:color w:val="333333"/>
                <w:sz w:val="20"/>
                <w:szCs w:val="20"/>
              </w:rPr>
            </w:pPr>
            <w:r>
              <w:rPr>
                <w:rFonts w:hint="eastAsia" w:ascii="仿宋_GB2312" w:hAnsi="Times New Roman" w:eastAsia="仿宋_GB2312" w:cs="宋体"/>
                <w:color w:val="333333"/>
                <w:sz w:val="20"/>
                <w:szCs w:val="20"/>
              </w:rPr>
              <w:t>各街道，各部门，区档案馆、图书馆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cantSplit/>
          <w:trHeight w:val="567" w:hRule="atLeast"/>
          <w:jc w:val="center"/>
        </w:trPr>
        <w:tc>
          <w:tcPr>
            <w:tcW w:w="11749" w:type="dxa"/>
            <w:gridSpan w:val="4"/>
            <w:tcBorders>
              <w:top w:val="nil"/>
              <w:left w:val="single" w:color="000000" w:sz="8" w:space="0"/>
              <w:bottom w:val="single" w:color="000000" w:sz="8" w:space="0"/>
              <w:right w:val="single" w:color="000000" w:sz="8" w:space="0"/>
            </w:tcBorders>
            <w:shd w:val="clear" w:color="auto" w:fill="FFFFFF"/>
            <w:tcMar>
              <w:left w:w="108" w:type="dxa"/>
              <w:right w:w="108" w:type="dxa"/>
            </w:tcMar>
            <w:vAlign w:val="center"/>
          </w:tcPr>
          <w:p>
            <w:pPr>
              <w:widowControl/>
              <w:jc w:val="center"/>
              <w:textAlignment w:val="center"/>
              <w:rPr>
                <w:rFonts w:ascii="仿宋_GB2312" w:hAnsi="Times New Roman" w:eastAsia="仿宋_GB2312" w:cs="宋体"/>
                <w:color w:val="333333"/>
                <w:sz w:val="20"/>
                <w:szCs w:val="20"/>
              </w:rPr>
            </w:pPr>
            <w:r>
              <w:rPr>
                <w:rFonts w:hint="eastAsia" w:ascii="仿宋_GB2312" w:hAnsi="Times New Roman" w:eastAsia="仿宋_GB2312" w:cs="宋体"/>
                <w:b/>
                <w:bCs/>
                <w:color w:val="333333"/>
                <w:sz w:val="20"/>
                <w:szCs w:val="20"/>
              </w:rPr>
              <w:t>四、紧扣政府信息公开条例实施，进一步深化政务公开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cantSplit/>
          <w:trHeight w:val="567" w:hRule="atLeast"/>
          <w:jc w:val="center"/>
        </w:trPr>
        <w:tc>
          <w:tcPr>
            <w:tcW w:w="11749" w:type="dxa"/>
            <w:gridSpan w:val="4"/>
            <w:tcBorders>
              <w:top w:val="nil"/>
              <w:left w:val="single" w:color="000000" w:sz="8" w:space="0"/>
              <w:bottom w:val="single" w:color="000000" w:sz="8" w:space="0"/>
              <w:right w:val="single" w:color="000000" w:sz="8" w:space="0"/>
            </w:tcBorders>
            <w:shd w:val="clear" w:color="auto" w:fill="FFFFFF"/>
            <w:tcMar>
              <w:left w:w="108" w:type="dxa"/>
              <w:right w:w="108" w:type="dxa"/>
            </w:tcMar>
            <w:vAlign w:val="center"/>
          </w:tcPr>
          <w:p>
            <w:pPr>
              <w:widowControl/>
              <w:textAlignment w:val="center"/>
              <w:rPr>
                <w:rFonts w:ascii="仿宋_GB2312" w:hAnsi="Times New Roman" w:eastAsia="仿宋_GB2312" w:cs="宋体"/>
                <w:color w:val="333333"/>
                <w:sz w:val="20"/>
                <w:szCs w:val="20"/>
              </w:rPr>
            </w:pPr>
            <w:r>
              <w:rPr>
                <w:rFonts w:hint="eastAsia" w:ascii="仿宋_GB2312" w:hAnsi="Times New Roman" w:eastAsia="仿宋_GB2312" w:cs="宋体"/>
                <w:color w:val="333333"/>
                <w:sz w:val="20"/>
                <w:szCs w:val="20"/>
              </w:rPr>
              <w:t>（一）提高依申请公开工作质量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cantSplit/>
          <w:trHeight w:val="3949" w:hRule="atLeast"/>
          <w:jc w:val="center"/>
        </w:trPr>
        <w:tc>
          <w:tcPr>
            <w:tcW w:w="3636" w:type="dxa"/>
            <w:tcBorders>
              <w:top w:val="nil"/>
              <w:left w:val="single" w:color="000000" w:sz="8" w:space="0"/>
              <w:bottom w:val="single" w:color="000000" w:sz="8" w:space="0"/>
              <w:right w:val="single" w:color="000000" w:sz="8" w:space="0"/>
            </w:tcBorders>
            <w:shd w:val="clear" w:color="auto" w:fill="FFFFFF"/>
            <w:tcMar>
              <w:left w:w="108" w:type="dxa"/>
              <w:right w:w="108" w:type="dxa"/>
            </w:tcMar>
            <w:vAlign w:val="center"/>
          </w:tcPr>
          <w:p>
            <w:pPr>
              <w:widowControl/>
              <w:textAlignment w:val="center"/>
              <w:rPr>
                <w:rFonts w:ascii="仿宋_GB2312" w:hAnsi="Times New Roman" w:eastAsia="仿宋_GB2312" w:cs="宋体"/>
                <w:color w:val="333333"/>
                <w:sz w:val="20"/>
                <w:szCs w:val="20"/>
              </w:rPr>
            </w:pPr>
            <w:r>
              <w:rPr>
                <w:rFonts w:ascii="仿宋_GB2312" w:hAnsi="Times New Roman" w:eastAsia="仿宋_GB2312" w:cs="宋体"/>
                <w:color w:val="333333"/>
                <w:sz w:val="20"/>
                <w:szCs w:val="20"/>
              </w:rPr>
              <w:t>32.</w:t>
            </w:r>
            <w:r>
              <w:rPr>
                <w:rFonts w:hint="eastAsia" w:ascii="仿宋_GB2312" w:hAnsi="Times New Roman" w:eastAsia="仿宋_GB2312" w:cs="宋体"/>
                <w:color w:val="333333"/>
                <w:sz w:val="20"/>
                <w:szCs w:val="20"/>
              </w:rPr>
              <w:t>完善政府信息公开申请办理工作机制。</w:t>
            </w:r>
          </w:p>
        </w:tc>
        <w:tc>
          <w:tcPr>
            <w:tcW w:w="3956" w:type="dxa"/>
            <w:tcBorders>
              <w:top w:val="single" w:color="000000" w:sz="8" w:space="0"/>
              <w:left w:val="nil"/>
              <w:bottom w:val="single" w:color="000000" w:sz="8" w:space="0"/>
              <w:right w:val="single" w:color="000000" w:sz="8" w:space="0"/>
            </w:tcBorders>
            <w:shd w:val="clear" w:color="auto" w:fill="FFFFFF"/>
            <w:tcMar>
              <w:left w:w="108" w:type="dxa"/>
              <w:right w:w="108" w:type="dxa"/>
            </w:tcMar>
            <w:vAlign w:val="center"/>
          </w:tcPr>
          <w:p>
            <w:pPr>
              <w:widowControl/>
              <w:textAlignment w:val="center"/>
              <w:rPr>
                <w:rFonts w:ascii="仿宋_GB2312" w:hAnsi="Times New Roman" w:eastAsia="仿宋_GB2312" w:cs="宋体"/>
                <w:color w:val="333333"/>
                <w:sz w:val="20"/>
                <w:szCs w:val="20"/>
              </w:rPr>
            </w:pPr>
            <w:r>
              <w:rPr>
                <w:rFonts w:hint="eastAsia" w:ascii="仿宋_GB2312" w:hAnsi="Times New Roman" w:eastAsia="仿宋_GB2312" w:cs="宋体"/>
                <w:color w:val="333333"/>
                <w:sz w:val="20"/>
                <w:szCs w:val="20"/>
              </w:rPr>
              <w:t>进一步规范依申请公开工作，编制完善依申请公开办理规范指引，明确办理规则，完善办理流程，提高答复效率。畅通线上、线下申请渠道，完善申请登记、审核、办理、答复归档等办理制度，积极引入法律顾问参与依申请公开答复合法性审查等工作。建立健全政府信息依申请公开转主动公开机制，对依申请公开提供的政府信息同步开展审查研判，符合主动公开条件的及时转为主动公开。</w:t>
            </w:r>
          </w:p>
        </w:tc>
        <w:tc>
          <w:tcPr>
            <w:tcW w:w="1656" w:type="dxa"/>
            <w:tcBorders>
              <w:top w:val="single" w:color="000000" w:sz="8" w:space="0"/>
              <w:left w:val="nil"/>
              <w:bottom w:val="single" w:color="000000" w:sz="8" w:space="0"/>
              <w:right w:val="single" w:color="000000" w:sz="8" w:space="0"/>
            </w:tcBorders>
            <w:shd w:val="clear" w:color="auto" w:fill="FFFFFF"/>
            <w:tcMar>
              <w:left w:w="108" w:type="dxa"/>
              <w:right w:w="108" w:type="dxa"/>
            </w:tcMar>
            <w:vAlign w:val="center"/>
          </w:tcPr>
          <w:p>
            <w:pPr>
              <w:widowControl/>
              <w:jc w:val="center"/>
              <w:rPr>
                <w:rFonts w:ascii="仿宋_GB2312" w:hAnsi="Times New Roman" w:eastAsia="仿宋_GB2312" w:cs="宋体"/>
                <w:color w:val="333333"/>
                <w:sz w:val="20"/>
                <w:szCs w:val="20"/>
              </w:rPr>
            </w:pPr>
          </w:p>
        </w:tc>
        <w:tc>
          <w:tcPr>
            <w:tcW w:w="2501" w:type="dxa"/>
            <w:tcBorders>
              <w:top w:val="single" w:color="000000" w:sz="8" w:space="0"/>
              <w:left w:val="nil"/>
              <w:bottom w:val="single" w:color="000000" w:sz="8" w:space="0"/>
              <w:right w:val="single" w:color="000000" w:sz="8" w:space="0"/>
            </w:tcBorders>
            <w:shd w:val="clear" w:color="auto" w:fill="FFFFFF"/>
            <w:tcMar>
              <w:left w:w="108" w:type="dxa"/>
              <w:right w:w="108" w:type="dxa"/>
            </w:tcMar>
            <w:vAlign w:val="center"/>
          </w:tcPr>
          <w:p>
            <w:pPr>
              <w:widowControl/>
              <w:textAlignment w:val="center"/>
              <w:rPr>
                <w:rFonts w:ascii="仿宋_GB2312" w:hAnsi="Times New Roman" w:eastAsia="仿宋_GB2312" w:cs="宋体"/>
                <w:color w:val="333333"/>
                <w:sz w:val="20"/>
                <w:szCs w:val="20"/>
              </w:rPr>
            </w:pPr>
            <w:r>
              <w:rPr>
                <w:rFonts w:hint="eastAsia" w:ascii="仿宋_GB2312" w:hAnsi="Times New Roman" w:eastAsia="仿宋_GB2312" w:cs="宋体"/>
                <w:color w:val="333333"/>
                <w:sz w:val="20"/>
                <w:szCs w:val="20"/>
              </w:rPr>
              <w:t>各街道，各部门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cantSplit/>
          <w:trHeight w:val="1944" w:hRule="atLeast"/>
          <w:jc w:val="center"/>
        </w:trPr>
        <w:tc>
          <w:tcPr>
            <w:tcW w:w="3636" w:type="dxa"/>
            <w:tcBorders>
              <w:top w:val="nil"/>
              <w:left w:val="single" w:color="000000" w:sz="8" w:space="0"/>
              <w:bottom w:val="single" w:color="000000" w:sz="8" w:space="0"/>
              <w:right w:val="single" w:color="000000" w:sz="8" w:space="0"/>
            </w:tcBorders>
            <w:shd w:val="clear" w:color="auto" w:fill="FFFFFF"/>
            <w:tcMar>
              <w:left w:w="108" w:type="dxa"/>
              <w:right w:w="108" w:type="dxa"/>
            </w:tcMar>
            <w:vAlign w:val="center"/>
          </w:tcPr>
          <w:p>
            <w:pPr>
              <w:widowControl/>
              <w:textAlignment w:val="center"/>
              <w:rPr>
                <w:rFonts w:ascii="仿宋_GB2312" w:hAnsi="Times New Roman" w:eastAsia="仿宋_GB2312" w:cs="宋体"/>
                <w:color w:val="333333"/>
                <w:sz w:val="20"/>
                <w:szCs w:val="20"/>
              </w:rPr>
            </w:pPr>
            <w:r>
              <w:rPr>
                <w:rFonts w:ascii="仿宋_GB2312" w:hAnsi="Times New Roman" w:eastAsia="仿宋_GB2312" w:cs="宋体"/>
                <w:color w:val="333333"/>
                <w:sz w:val="20"/>
                <w:szCs w:val="20"/>
              </w:rPr>
              <w:t>33.</w:t>
            </w:r>
            <w:r>
              <w:rPr>
                <w:rFonts w:hint="eastAsia" w:ascii="仿宋_GB2312" w:hAnsi="Times New Roman" w:eastAsia="仿宋_GB2312" w:cs="宋体"/>
                <w:color w:val="333333"/>
                <w:sz w:val="20"/>
                <w:szCs w:val="20"/>
              </w:rPr>
              <w:t>提升答复文书规范化水平。</w:t>
            </w:r>
          </w:p>
        </w:tc>
        <w:tc>
          <w:tcPr>
            <w:tcW w:w="3956" w:type="dxa"/>
            <w:tcBorders>
              <w:top w:val="nil"/>
              <w:left w:val="nil"/>
              <w:bottom w:val="single" w:color="000000" w:sz="8" w:space="0"/>
              <w:right w:val="single" w:color="000000" w:sz="8" w:space="0"/>
            </w:tcBorders>
            <w:shd w:val="clear" w:color="auto" w:fill="FFFFFF"/>
            <w:tcMar>
              <w:left w:w="108" w:type="dxa"/>
              <w:right w:w="108" w:type="dxa"/>
            </w:tcMar>
            <w:vAlign w:val="center"/>
          </w:tcPr>
          <w:p>
            <w:pPr>
              <w:widowControl/>
              <w:textAlignment w:val="center"/>
              <w:rPr>
                <w:rFonts w:ascii="仿宋_GB2312" w:hAnsi="Times New Roman" w:eastAsia="仿宋_GB2312" w:cs="宋体"/>
                <w:color w:val="333333"/>
                <w:sz w:val="20"/>
                <w:szCs w:val="20"/>
              </w:rPr>
            </w:pPr>
            <w:r>
              <w:rPr>
                <w:rFonts w:hint="eastAsia" w:ascii="仿宋_GB2312" w:hAnsi="Times New Roman" w:eastAsia="仿宋_GB2312" w:cs="宋体"/>
                <w:color w:val="333333"/>
                <w:sz w:val="20"/>
                <w:szCs w:val="20"/>
              </w:rPr>
              <w:t>加强业务培训和案例指导，严格按照规定格式规范答复文书，内容强调说理性，以事实为依据、以法律为准绳，注重以理服人，公平作出决定。</w:t>
            </w:r>
          </w:p>
        </w:tc>
        <w:tc>
          <w:tcPr>
            <w:tcW w:w="1656" w:type="dxa"/>
            <w:tcBorders>
              <w:top w:val="nil"/>
              <w:left w:val="nil"/>
              <w:bottom w:val="single" w:color="000000" w:sz="8" w:space="0"/>
              <w:right w:val="single" w:color="000000" w:sz="8" w:space="0"/>
            </w:tcBorders>
            <w:shd w:val="clear" w:color="auto" w:fill="FFFFFF"/>
            <w:tcMar>
              <w:left w:w="108" w:type="dxa"/>
              <w:right w:w="108" w:type="dxa"/>
            </w:tcMar>
            <w:vAlign w:val="center"/>
          </w:tcPr>
          <w:p>
            <w:pPr>
              <w:widowControl/>
              <w:jc w:val="center"/>
              <w:rPr>
                <w:rFonts w:ascii="仿宋_GB2312" w:hAnsi="Times New Roman" w:eastAsia="仿宋_GB2312" w:cs="宋体"/>
                <w:color w:val="333333"/>
                <w:sz w:val="20"/>
                <w:szCs w:val="20"/>
              </w:rPr>
            </w:pPr>
            <w:r>
              <w:rPr>
                <w:rFonts w:hint="eastAsia" w:ascii="仿宋_GB2312" w:hAnsi="Times New Roman" w:eastAsia="仿宋_GB2312" w:cs="宋体"/>
                <w:color w:val="333333"/>
                <w:sz w:val="20"/>
                <w:szCs w:val="20"/>
              </w:rPr>
              <w:t>区政府办</w:t>
            </w:r>
          </w:p>
          <w:p>
            <w:pPr>
              <w:widowControl/>
              <w:jc w:val="center"/>
              <w:rPr>
                <w:rFonts w:ascii="仿宋_GB2312" w:hAnsi="Times New Roman" w:eastAsia="仿宋_GB2312" w:cs="宋体"/>
                <w:color w:val="333333"/>
                <w:sz w:val="20"/>
                <w:szCs w:val="20"/>
              </w:rPr>
            </w:pPr>
            <w:r>
              <w:rPr>
                <w:rFonts w:hint="eastAsia" w:ascii="仿宋_GB2312" w:hAnsi="Times New Roman" w:eastAsia="仿宋_GB2312" w:cs="宋体"/>
                <w:color w:val="333333"/>
                <w:sz w:val="20"/>
                <w:szCs w:val="20"/>
              </w:rPr>
              <w:t>区司法局</w:t>
            </w:r>
          </w:p>
        </w:tc>
        <w:tc>
          <w:tcPr>
            <w:tcW w:w="2501" w:type="dxa"/>
            <w:tcBorders>
              <w:top w:val="nil"/>
              <w:left w:val="nil"/>
              <w:bottom w:val="single" w:color="000000" w:sz="8" w:space="0"/>
              <w:right w:val="single" w:color="000000" w:sz="8" w:space="0"/>
            </w:tcBorders>
            <w:shd w:val="clear" w:color="auto" w:fill="FFFFFF"/>
            <w:tcMar>
              <w:left w:w="108" w:type="dxa"/>
              <w:right w:w="108" w:type="dxa"/>
            </w:tcMar>
            <w:vAlign w:val="center"/>
          </w:tcPr>
          <w:p>
            <w:pPr>
              <w:widowControl/>
              <w:textAlignment w:val="center"/>
              <w:rPr>
                <w:rFonts w:ascii="仿宋_GB2312" w:hAnsi="Times New Roman" w:eastAsia="仿宋_GB2312" w:cs="宋体"/>
                <w:color w:val="333333"/>
                <w:sz w:val="20"/>
                <w:szCs w:val="20"/>
              </w:rPr>
            </w:pPr>
            <w:r>
              <w:rPr>
                <w:rFonts w:hint="eastAsia" w:ascii="仿宋_GB2312" w:hAnsi="Times New Roman" w:eastAsia="仿宋_GB2312" w:cs="宋体"/>
                <w:color w:val="333333"/>
                <w:sz w:val="20"/>
                <w:szCs w:val="20"/>
              </w:rPr>
              <w:t>各街道，各部门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cantSplit/>
          <w:trHeight w:val="2593" w:hRule="atLeast"/>
          <w:jc w:val="center"/>
        </w:trPr>
        <w:tc>
          <w:tcPr>
            <w:tcW w:w="3636" w:type="dxa"/>
            <w:tcBorders>
              <w:top w:val="nil"/>
              <w:left w:val="single" w:color="000000" w:sz="8" w:space="0"/>
              <w:bottom w:val="single" w:color="000000" w:sz="8" w:space="0"/>
              <w:right w:val="single" w:color="000000" w:sz="8" w:space="0"/>
            </w:tcBorders>
            <w:shd w:val="clear" w:color="auto" w:fill="FFFFFF"/>
            <w:tcMar>
              <w:left w:w="108" w:type="dxa"/>
              <w:right w:w="108" w:type="dxa"/>
            </w:tcMar>
            <w:vAlign w:val="center"/>
          </w:tcPr>
          <w:p>
            <w:pPr>
              <w:widowControl/>
              <w:textAlignment w:val="center"/>
              <w:rPr>
                <w:rFonts w:ascii="仿宋_GB2312" w:hAnsi="Times New Roman" w:eastAsia="仿宋_GB2312" w:cs="宋体"/>
                <w:color w:val="333333"/>
                <w:sz w:val="20"/>
                <w:szCs w:val="20"/>
              </w:rPr>
            </w:pPr>
            <w:r>
              <w:rPr>
                <w:rFonts w:ascii="仿宋_GB2312" w:hAnsi="Times New Roman" w:eastAsia="仿宋_GB2312" w:cs="宋体"/>
                <w:color w:val="333333"/>
                <w:sz w:val="20"/>
                <w:szCs w:val="20"/>
              </w:rPr>
              <w:t>34.</w:t>
            </w:r>
            <w:r>
              <w:rPr>
                <w:rFonts w:hint="eastAsia" w:ascii="仿宋_GB2312" w:hAnsi="Times New Roman" w:eastAsia="仿宋_GB2312" w:cs="宋体"/>
                <w:color w:val="333333"/>
                <w:sz w:val="20"/>
                <w:szCs w:val="20"/>
              </w:rPr>
              <w:t>依法落实信息处理费有关规定。</w:t>
            </w:r>
          </w:p>
        </w:tc>
        <w:tc>
          <w:tcPr>
            <w:tcW w:w="3956" w:type="dxa"/>
            <w:tcBorders>
              <w:top w:val="nil"/>
              <w:left w:val="nil"/>
              <w:bottom w:val="single" w:color="000000" w:sz="8" w:space="0"/>
              <w:right w:val="single" w:color="000000" w:sz="8" w:space="0"/>
            </w:tcBorders>
            <w:shd w:val="clear" w:color="auto" w:fill="FFFFFF"/>
            <w:tcMar>
              <w:left w:w="108" w:type="dxa"/>
              <w:right w:w="108" w:type="dxa"/>
            </w:tcMar>
            <w:vAlign w:val="center"/>
          </w:tcPr>
          <w:p>
            <w:pPr>
              <w:widowControl/>
              <w:textAlignment w:val="center"/>
              <w:rPr>
                <w:rFonts w:ascii="仿宋_GB2312" w:hAnsi="Times New Roman" w:eastAsia="仿宋_GB2312" w:cs="宋体"/>
                <w:color w:val="333333"/>
                <w:sz w:val="20"/>
                <w:szCs w:val="20"/>
              </w:rPr>
            </w:pPr>
            <w:r>
              <w:rPr>
                <w:rFonts w:hint="eastAsia" w:ascii="仿宋_GB2312" w:hAnsi="Times New Roman" w:eastAsia="仿宋_GB2312" w:cs="宋体"/>
                <w:color w:val="333333"/>
                <w:sz w:val="20"/>
                <w:szCs w:val="20"/>
              </w:rPr>
              <w:t>正确适用《政府信息公开信息处理费管理办法》和省财政厅《关于做好政府信息公开信息处理费收入收缴管理有关事项的通知》（闽财非税函〔</w:t>
            </w:r>
            <w:r>
              <w:rPr>
                <w:rFonts w:ascii="仿宋_GB2312" w:hAnsi="Times New Roman" w:eastAsia="仿宋_GB2312" w:cs="宋体"/>
                <w:color w:val="333333"/>
                <w:sz w:val="20"/>
                <w:szCs w:val="20"/>
              </w:rPr>
              <w:t>2021</w:t>
            </w:r>
            <w:r>
              <w:rPr>
                <w:rFonts w:hint="eastAsia" w:ascii="仿宋_GB2312" w:hAnsi="Times New Roman" w:eastAsia="仿宋_GB2312" w:cs="宋体"/>
                <w:color w:val="333333"/>
                <w:sz w:val="20"/>
                <w:szCs w:val="20"/>
              </w:rPr>
              <w:t>〕</w:t>
            </w:r>
            <w:r>
              <w:rPr>
                <w:rFonts w:ascii="仿宋_GB2312" w:hAnsi="Times New Roman" w:eastAsia="仿宋_GB2312" w:cs="宋体"/>
                <w:color w:val="333333"/>
                <w:sz w:val="20"/>
                <w:szCs w:val="20"/>
              </w:rPr>
              <w:t>1</w:t>
            </w:r>
            <w:r>
              <w:rPr>
                <w:rFonts w:hint="eastAsia" w:ascii="仿宋_GB2312" w:hAnsi="Times New Roman" w:eastAsia="仿宋_GB2312" w:cs="宋体"/>
                <w:color w:val="333333"/>
                <w:sz w:val="20"/>
                <w:szCs w:val="20"/>
              </w:rPr>
              <w:t>号）和《思明区财政局关于做好政府信息公开信息处理费收入收缴管理有关事项的通知》厦思财〔</w:t>
            </w:r>
            <w:r>
              <w:rPr>
                <w:rFonts w:ascii="仿宋_GB2312" w:hAnsi="Times New Roman" w:eastAsia="仿宋_GB2312" w:cs="宋体"/>
                <w:color w:val="333333"/>
                <w:sz w:val="20"/>
                <w:szCs w:val="20"/>
              </w:rPr>
              <w:t>2021</w:t>
            </w:r>
            <w:r>
              <w:rPr>
                <w:rFonts w:hint="eastAsia" w:ascii="仿宋_GB2312" w:hAnsi="Times New Roman" w:eastAsia="仿宋_GB2312" w:cs="宋体"/>
                <w:color w:val="333333"/>
                <w:sz w:val="20"/>
                <w:szCs w:val="20"/>
              </w:rPr>
              <w:t>〕</w:t>
            </w:r>
            <w:r>
              <w:rPr>
                <w:rFonts w:ascii="仿宋_GB2312" w:hAnsi="Times New Roman" w:eastAsia="仿宋_GB2312" w:cs="宋体"/>
                <w:color w:val="333333"/>
                <w:sz w:val="20"/>
                <w:szCs w:val="20"/>
              </w:rPr>
              <w:t>55</w:t>
            </w:r>
            <w:r>
              <w:rPr>
                <w:rFonts w:hint="eastAsia" w:ascii="仿宋_GB2312" w:hAnsi="Times New Roman" w:eastAsia="仿宋_GB2312" w:cs="宋体"/>
                <w:color w:val="333333"/>
                <w:sz w:val="20"/>
                <w:szCs w:val="20"/>
              </w:rPr>
              <w:t>号，严格依照规定的标准、程序、方式计收信息处理费。</w:t>
            </w:r>
          </w:p>
        </w:tc>
        <w:tc>
          <w:tcPr>
            <w:tcW w:w="1656" w:type="dxa"/>
            <w:tcBorders>
              <w:top w:val="nil"/>
              <w:left w:val="nil"/>
              <w:bottom w:val="single" w:color="000000" w:sz="8" w:space="0"/>
              <w:right w:val="single" w:color="000000" w:sz="8" w:space="0"/>
            </w:tcBorders>
            <w:shd w:val="clear" w:color="auto" w:fill="FFFFFF"/>
            <w:tcMar>
              <w:left w:w="108" w:type="dxa"/>
              <w:right w:w="108" w:type="dxa"/>
            </w:tcMar>
            <w:vAlign w:val="center"/>
          </w:tcPr>
          <w:p>
            <w:pPr>
              <w:widowControl/>
              <w:jc w:val="center"/>
              <w:rPr>
                <w:rFonts w:ascii="仿宋_GB2312" w:hAnsi="Times New Roman" w:eastAsia="仿宋_GB2312" w:cs="宋体"/>
                <w:color w:val="333333"/>
                <w:sz w:val="20"/>
                <w:szCs w:val="20"/>
              </w:rPr>
            </w:pPr>
          </w:p>
        </w:tc>
        <w:tc>
          <w:tcPr>
            <w:tcW w:w="2501" w:type="dxa"/>
            <w:tcBorders>
              <w:top w:val="nil"/>
              <w:left w:val="nil"/>
              <w:bottom w:val="single" w:color="000000" w:sz="8" w:space="0"/>
              <w:right w:val="single" w:color="000000" w:sz="8" w:space="0"/>
            </w:tcBorders>
            <w:shd w:val="clear" w:color="auto" w:fill="FFFFFF"/>
            <w:tcMar>
              <w:left w:w="108" w:type="dxa"/>
              <w:right w:w="108" w:type="dxa"/>
            </w:tcMar>
            <w:vAlign w:val="center"/>
          </w:tcPr>
          <w:p>
            <w:pPr>
              <w:widowControl/>
              <w:textAlignment w:val="center"/>
              <w:rPr>
                <w:rFonts w:ascii="仿宋_GB2312" w:hAnsi="Times New Roman" w:eastAsia="仿宋_GB2312" w:cs="宋体"/>
                <w:color w:val="333333"/>
                <w:sz w:val="20"/>
                <w:szCs w:val="20"/>
              </w:rPr>
            </w:pPr>
            <w:r>
              <w:rPr>
                <w:rFonts w:hint="eastAsia" w:ascii="仿宋_GB2312" w:hAnsi="Times New Roman" w:eastAsia="仿宋_GB2312" w:cs="宋体"/>
                <w:color w:val="333333"/>
                <w:sz w:val="20"/>
                <w:szCs w:val="20"/>
              </w:rPr>
              <w:t>各街道，各部门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cantSplit/>
          <w:trHeight w:val="567" w:hRule="atLeast"/>
          <w:jc w:val="center"/>
        </w:trPr>
        <w:tc>
          <w:tcPr>
            <w:tcW w:w="11749" w:type="dxa"/>
            <w:gridSpan w:val="4"/>
            <w:tcBorders>
              <w:top w:val="nil"/>
              <w:left w:val="single" w:color="000000" w:sz="8" w:space="0"/>
              <w:bottom w:val="single" w:color="000000" w:sz="8" w:space="0"/>
              <w:right w:val="single" w:color="000000" w:sz="8" w:space="0"/>
            </w:tcBorders>
            <w:shd w:val="clear" w:color="auto" w:fill="FFFFFF"/>
            <w:tcMar>
              <w:left w:w="108" w:type="dxa"/>
              <w:right w:w="108" w:type="dxa"/>
            </w:tcMar>
            <w:vAlign w:val="center"/>
          </w:tcPr>
          <w:p>
            <w:pPr>
              <w:widowControl/>
              <w:textAlignment w:val="center"/>
              <w:rPr>
                <w:rFonts w:ascii="仿宋_GB2312" w:hAnsi="Times New Roman" w:eastAsia="仿宋_GB2312" w:cs="宋体"/>
                <w:color w:val="333333"/>
                <w:sz w:val="20"/>
                <w:szCs w:val="20"/>
              </w:rPr>
            </w:pPr>
            <w:r>
              <w:rPr>
                <w:rFonts w:hint="eastAsia" w:ascii="仿宋_GB2312" w:hAnsi="Times New Roman" w:eastAsia="仿宋_GB2312" w:cs="宋体"/>
                <w:color w:val="333333"/>
                <w:sz w:val="20"/>
                <w:szCs w:val="20"/>
              </w:rPr>
              <w:t>（二）规范政府信息公开行政复议案件审理标准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cantSplit/>
          <w:trHeight w:val="2257" w:hRule="atLeast"/>
          <w:jc w:val="center"/>
        </w:trPr>
        <w:tc>
          <w:tcPr>
            <w:tcW w:w="3636" w:type="dxa"/>
            <w:tcBorders>
              <w:top w:val="nil"/>
              <w:left w:val="single" w:color="000000" w:sz="8" w:space="0"/>
              <w:bottom w:val="single" w:color="000000" w:sz="8" w:space="0"/>
              <w:right w:val="single" w:color="000000" w:sz="8" w:space="0"/>
            </w:tcBorders>
            <w:shd w:val="clear" w:color="auto" w:fill="FFFFFF"/>
            <w:tcMar>
              <w:left w:w="108" w:type="dxa"/>
              <w:right w:w="108" w:type="dxa"/>
            </w:tcMar>
            <w:vAlign w:val="center"/>
          </w:tcPr>
          <w:p>
            <w:pPr>
              <w:widowControl/>
              <w:textAlignment w:val="center"/>
              <w:rPr>
                <w:rFonts w:ascii="仿宋_GB2312" w:hAnsi="Times New Roman" w:eastAsia="仿宋_GB2312" w:cs="宋体"/>
                <w:color w:val="333333"/>
                <w:sz w:val="20"/>
                <w:szCs w:val="20"/>
              </w:rPr>
            </w:pPr>
            <w:r>
              <w:rPr>
                <w:rFonts w:ascii="仿宋_GB2312" w:hAnsi="Times New Roman" w:eastAsia="仿宋_GB2312" w:cs="宋体"/>
                <w:color w:val="333333"/>
                <w:sz w:val="20"/>
                <w:szCs w:val="20"/>
              </w:rPr>
              <w:t>35.</w:t>
            </w:r>
            <w:r>
              <w:rPr>
                <w:rFonts w:hint="eastAsia" w:ascii="仿宋_GB2312" w:hAnsi="Times New Roman" w:eastAsia="仿宋_GB2312" w:cs="宋体"/>
                <w:color w:val="333333"/>
                <w:sz w:val="20"/>
                <w:szCs w:val="20"/>
              </w:rPr>
              <w:t>跟踪落实政府信息公开行政复议案件审理标准。</w:t>
            </w:r>
          </w:p>
        </w:tc>
        <w:tc>
          <w:tcPr>
            <w:tcW w:w="3956" w:type="dxa"/>
            <w:tcBorders>
              <w:top w:val="single" w:color="000000" w:sz="8" w:space="0"/>
              <w:left w:val="nil"/>
              <w:bottom w:val="single" w:color="000000" w:sz="8" w:space="0"/>
              <w:right w:val="single" w:color="000000" w:sz="8" w:space="0"/>
            </w:tcBorders>
            <w:shd w:val="clear" w:color="auto" w:fill="FFFFFF"/>
            <w:tcMar>
              <w:left w:w="108" w:type="dxa"/>
              <w:right w:w="108" w:type="dxa"/>
            </w:tcMar>
            <w:vAlign w:val="center"/>
          </w:tcPr>
          <w:p>
            <w:pPr>
              <w:widowControl/>
              <w:textAlignment w:val="center"/>
              <w:rPr>
                <w:rFonts w:ascii="仿宋_GB2312" w:hAnsi="Times New Roman" w:eastAsia="仿宋_GB2312" w:cs="宋体"/>
                <w:color w:val="333333"/>
                <w:sz w:val="20"/>
                <w:szCs w:val="20"/>
              </w:rPr>
            </w:pPr>
            <w:r>
              <w:rPr>
                <w:rFonts w:hint="eastAsia" w:ascii="仿宋_GB2312" w:hAnsi="Times New Roman" w:eastAsia="仿宋_GB2312" w:cs="宋体"/>
                <w:color w:val="333333"/>
                <w:sz w:val="20"/>
                <w:szCs w:val="20"/>
              </w:rPr>
              <w:t>及时跟踪国务院行政复议机构在</w:t>
            </w:r>
            <w:r>
              <w:rPr>
                <w:rFonts w:ascii="仿宋_GB2312" w:hAnsi="Times New Roman" w:eastAsia="仿宋_GB2312" w:cs="宋体"/>
                <w:color w:val="333333"/>
                <w:sz w:val="20"/>
                <w:szCs w:val="20"/>
              </w:rPr>
              <w:t>2021</w:t>
            </w:r>
            <w:r>
              <w:rPr>
                <w:rFonts w:hint="eastAsia" w:ascii="仿宋_GB2312" w:hAnsi="Times New Roman" w:eastAsia="仿宋_GB2312" w:cs="宋体"/>
                <w:color w:val="333333"/>
                <w:sz w:val="20"/>
                <w:szCs w:val="20"/>
              </w:rPr>
              <w:t>年底前将制定出台的政府信息公开行政复议案件审理规范，统一案件审理标准，明确案件审理重点，避免“同案不同判”问题。</w:t>
            </w:r>
          </w:p>
        </w:tc>
        <w:tc>
          <w:tcPr>
            <w:tcW w:w="1656" w:type="dxa"/>
            <w:tcBorders>
              <w:top w:val="single" w:color="000000" w:sz="8" w:space="0"/>
              <w:left w:val="nil"/>
              <w:bottom w:val="single" w:color="000000" w:sz="8" w:space="0"/>
              <w:right w:val="single" w:color="000000" w:sz="8" w:space="0"/>
            </w:tcBorders>
            <w:shd w:val="clear" w:color="auto" w:fill="FFFFFF"/>
            <w:tcMar>
              <w:left w:w="108" w:type="dxa"/>
              <w:right w:w="108" w:type="dxa"/>
            </w:tcMar>
            <w:vAlign w:val="center"/>
          </w:tcPr>
          <w:p>
            <w:pPr>
              <w:widowControl/>
              <w:jc w:val="center"/>
              <w:textAlignment w:val="center"/>
              <w:rPr>
                <w:rFonts w:ascii="仿宋_GB2312" w:hAnsi="Times New Roman" w:eastAsia="仿宋_GB2312" w:cs="宋体"/>
                <w:color w:val="333333"/>
                <w:sz w:val="20"/>
                <w:szCs w:val="20"/>
              </w:rPr>
            </w:pPr>
            <w:r>
              <w:rPr>
                <w:rFonts w:hint="eastAsia" w:ascii="仿宋_GB2312" w:hAnsi="Times New Roman" w:eastAsia="仿宋_GB2312" w:cs="宋体"/>
                <w:color w:val="333333"/>
                <w:sz w:val="20"/>
                <w:szCs w:val="20"/>
              </w:rPr>
              <w:t>区司法局</w:t>
            </w:r>
          </w:p>
        </w:tc>
        <w:tc>
          <w:tcPr>
            <w:tcW w:w="2501" w:type="dxa"/>
            <w:tcBorders>
              <w:top w:val="single" w:color="000000" w:sz="8" w:space="0"/>
              <w:left w:val="nil"/>
              <w:bottom w:val="single" w:color="000000" w:sz="8" w:space="0"/>
              <w:right w:val="single" w:color="000000" w:sz="8" w:space="0"/>
            </w:tcBorders>
            <w:shd w:val="clear" w:color="auto" w:fill="FFFFFF"/>
            <w:tcMar>
              <w:left w:w="108" w:type="dxa"/>
              <w:right w:w="108" w:type="dxa"/>
            </w:tcMar>
            <w:vAlign w:val="center"/>
          </w:tcPr>
          <w:p>
            <w:pPr>
              <w:widowControl/>
              <w:textAlignment w:val="center"/>
              <w:rPr>
                <w:rFonts w:ascii="仿宋_GB2312" w:hAnsi="Times New Roman" w:eastAsia="仿宋_GB2312" w:cs="宋体"/>
                <w:color w:val="333333"/>
                <w:sz w:val="20"/>
                <w:szCs w:val="20"/>
              </w:rPr>
            </w:pPr>
            <w:r>
              <w:rPr>
                <w:rFonts w:hint="eastAsia" w:ascii="仿宋_GB2312" w:hAnsi="Times New Roman" w:eastAsia="仿宋_GB2312" w:cs="宋体"/>
                <w:color w:val="333333"/>
                <w:sz w:val="20"/>
                <w:szCs w:val="20"/>
              </w:rPr>
              <w:t>各街道，各部门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cantSplit/>
          <w:trHeight w:val="4693" w:hRule="atLeast"/>
          <w:jc w:val="center"/>
        </w:trPr>
        <w:tc>
          <w:tcPr>
            <w:tcW w:w="3636" w:type="dxa"/>
            <w:tcBorders>
              <w:top w:val="nil"/>
              <w:left w:val="single" w:color="000000" w:sz="8" w:space="0"/>
              <w:bottom w:val="single" w:color="000000" w:sz="8" w:space="0"/>
              <w:right w:val="single" w:color="000000" w:sz="8" w:space="0"/>
            </w:tcBorders>
            <w:shd w:val="clear" w:color="auto" w:fill="FFFFFF"/>
            <w:tcMar>
              <w:left w:w="108" w:type="dxa"/>
              <w:right w:w="108" w:type="dxa"/>
            </w:tcMar>
            <w:vAlign w:val="center"/>
          </w:tcPr>
          <w:p>
            <w:pPr>
              <w:widowControl/>
              <w:textAlignment w:val="center"/>
              <w:rPr>
                <w:rFonts w:ascii="仿宋_GB2312" w:hAnsi="Times New Roman" w:eastAsia="仿宋_GB2312" w:cs="宋体"/>
                <w:color w:val="333333"/>
                <w:sz w:val="20"/>
                <w:szCs w:val="20"/>
              </w:rPr>
            </w:pPr>
            <w:r>
              <w:rPr>
                <w:rFonts w:ascii="仿宋_GB2312" w:hAnsi="Times New Roman" w:eastAsia="仿宋_GB2312" w:cs="宋体"/>
                <w:color w:val="333333"/>
                <w:sz w:val="20"/>
                <w:szCs w:val="20"/>
              </w:rPr>
              <w:t>36.</w:t>
            </w:r>
            <w:r>
              <w:rPr>
                <w:rFonts w:hint="eastAsia" w:ascii="仿宋_GB2312" w:hAnsi="Times New Roman" w:eastAsia="仿宋_GB2312" w:cs="宋体"/>
                <w:color w:val="333333"/>
                <w:sz w:val="20"/>
                <w:szCs w:val="20"/>
              </w:rPr>
              <w:t>进一步提高政府信息公开行政复议案件审理规范化水平。</w:t>
            </w:r>
          </w:p>
        </w:tc>
        <w:tc>
          <w:tcPr>
            <w:tcW w:w="3956" w:type="dxa"/>
            <w:tcBorders>
              <w:top w:val="single" w:color="000000" w:sz="8" w:space="0"/>
              <w:left w:val="nil"/>
              <w:bottom w:val="single" w:color="000000" w:sz="8" w:space="0"/>
              <w:right w:val="single" w:color="000000" w:sz="8" w:space="0"/>
            </w:tcBorders>
            <w:shd w:val="clear" w:color="auto" w:fill="FFFFFF"/>
            <w:tcMar>
              <w:left w:w="108" w:type="dxa"/>
              <w:right w:w="108" w:type="dxa"/>
            </w:tcMar>
            <w:vAlign w:val="center"/>
          </w:tcPr>
          <w:p>
            <w:pPr>
              <w:widowControl/>
              <w:textAlignment w:val="center"/>
              <w:rPr>
                <w:rFonts w:ascii="仿宋_GB2312" w:hAnsi="Times New Roman" w:eastAsia="仿宋_GB2312" w:cs="宋体"/>
                <w:color w:val="333333"/>
                <w:sz w:val="20"/>
                <w:szCs w:val="20"/>
              </w:rPr>
            </w:pPr>
            <w:r>
              <w:rPr>
                <w:rFonts w:hint="eastAsia" w:ascii="仿宋_GB2312" w:hAnsi="Times New Roman" w:eastAsia="仿宋_GB2312" w:cs="宋体"/>
                <w:color w:val="333333"/>
                <w:sz w:val="20"/>
                <w:szCs w:val="20"/>
              </w:rPr>
              <w:t>充分发挥行政复议制度优势和层级监督功能，加大监督力度，强化责任追究，不断增强政府工作人员法治意识、公开意识、服务意识，更好保障人民群众合法权益，从源头上减少行政争议，推进诉源治理。同时，通过培训、辅导讲座，推进重大决策专家咨询制度、公示制度、公开征求意见制度、决策跟踪反馈和责任追究制度等方式不断提高政府工作人员行政执法的能力和水平，规范行政决策和行政执法行为，加强依法决策能力、制度建设能力、行政执法能力。</w:t>
            </w:r>
          </w:p>
        </w:tc>
        <w:tc>
          <w:tcPr>
            <w:tcW w:w="1656" w:type="dxa"/>
            <w:tcBorders>
              <w:top w:val="single" w:color="000000" w:sz="8" w:space="0"/>
              <w:left w:val="nil"/>
              <w:bottom w:val="single" w:color="000000" w:sz="8" w:space="0"/>
              <w:right w:val="single" w:color="000000" w:sz="8" w:space="0"/>
            </w:tcBorders>
            <w:shd w:val="clear" w:color="auto" w:fill="FFFFFF"/>
            <w:tcMar>
              <w:left w:w="108" w:type="dxa"/>
              <w:right w:w="108" w:type="dxa"/>
            </w:tcMar>
            <w:vAlign w:val="center"/>
          </w:tcPr>
          <w:p>
            <w:pPr>
              <w:widowControl/>
              <w:jc w:val="center"/>
              <w:textAlignment w:val="center"/>
              <w:rPr>
                <w:rFonts w:ascii="仿宋_GB2312" w:hAnsi="Times New Roman" w:eastAsia="仿宋_GB2312" w:cs="宋体"/>
                <w:sz w:val="20"/>
                <w:szCs w:val="20"/>
              </w:rPr>
            </w:pPr>
            <w:r>
              <w:rPr>
                <w:rFonts w:hint="eastAsia" w:ascii="仿宋_GB2312" w:hAnsi="Times New Roman" w:eastAsia="仿宋_GB2312" w:cs="宋体"/>
                <w:color w:val="333333"/>
                <w:sz w:val="20"/>
                <w:szCs w:val="20"/>
              </w:rPr>
              <w:t>区司法局</w:t>
            </w:r>
          </w:p>
        </w:tc>
        <w:tc>
          <w:tcPr>
            <w:tcW w:w="2501" w:type="dxa"/>
            <w:tcBorders>
              <w:top w:val="single" w:color="000000" w:sz="8" w:space="0"/>
              <w:left w:val="nil"/>
              <w:bottom w:val="single" w:color="000000" w:sz="8" w:space="0"/>
              <w:right w:val="single" w:color="000000" w:sz="8" w:space="0"/>
            </w:tcBorders>
            <w:shd w:val="clear" w:color="auto" w:fill="FFFFFF"/>
            <w:tcMar>
              <w:left w:w="108" w:type="dxa"/>
              <w:right w:w="108" w:type="dxa"/>
            </w:tcMar>
            <w:vAlign w:val="center"/>
          </w:tcPr>
          <w:p>
            <w:pPr>
              <w:widowControl/>
              <w:textAlignment w:val="center"/>
              <w:rPr>
                <w:rFonts w:ascii="仿宋_GB2312" w:hAnsi="Times New Roman" w:eastAsia="仿宋_GB2312" w:cs="宋体"/>
                <w:color w:val="333333"/>
                <w:sz w:val="20"/>
                <w:szCs w:val="20"/>
              </w:rPr>
            </w:pPr>
            <w:r>
              <w:rPr>
                <w:rFonts w:hint="eastAsia" w:ascii="仿宋_GB2312" w:hAnsi="Times New Roman" w:eastAsia="仿宋_GB2312" w:cs="宋体"/>
                <w:color w:val="333333"/>
                <w:sz w:val="20"/>
                <w:szCs w:val="20"/>
              </w:rPr>
              <w:t>各街道，各部门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cantSplit/>
          <w:trHeight w:val="666" w:hRule="atLeast"/>
          <w:jc w:val="center"/>
        </w:trPr>
        <w:tc>
          <w:tcPr>
            <w:tcW w:w="11749" w:type="dxa"/>
            <w:gridSpan w:val="4"/>
            <w:tcBorders>
              <w:top w:val="nil"/>
              <w:left w:val="single" w:color="000000" w:sz="8" w:space="0"/>
              <w:bottom w:val="single" w:color="000000" w:sz="8" w:space="0"/>
              <w:right w:val="single" w:color="000000" w:sz="8" w:space="0"/>
            </w:tcBorders>
            <w:shd w:val="clear" w:color="auto" w:fill="FFFFFF"/>
            <w:tcMar>
              <w:left w:w="108" w:type="dxa"/>
              <w:right w:w="108" w:type="dxa"/>
            </w:tcMar>
            <w:vAlign w:val="center"/>
          </w:tcPr>
          <w:p>
            <w:pPr>
              <w:widowControl/>
              <w:textAlignment w:val="center"/>
              <w:rPr>
                <w:rFonts w:ascii="仿宋_GB2312" w:hAnsi="Times New Roman" w:eastAsia="仿宋_GB2312" w:cs="宋体"/>
                <w:color w:val="333333"/>
                <w:sz w:val="20"/>
                <w:szCs w:val="20"/>
              </w:rPr>
            </w:pPr>
            <w:r>
              <w:rPr>
                <w:rFonts w:hint="eastAsia" w:ascii="仿宋_GB2312" w:hAnsi="Times New Roman" w:eastAsia="仿宋_GB2312" w:cs="宋体"/>
                <w:color w:val="333333"/>
                <w:sz w:val="20"/>
                <w:szCs w:val="20"/>
              </w:rPr>
              <w:t>（三）加强配套制度建设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cantSplit/>
          <w:trHeight w:val="2526" w:hRule="atLeast"/>
          <w:jc w:val="center"/>
        </w:trPr>
        <w:tc>
          <w:tcPr>
            <w:tcW w:w="3636" w:type="dxa"/>
            <w:tcBorders>
              <w:top w:val="nil"/>
              <w:left w:val="single" w:color="000000" w:sz="8" w:space="0"/>
              <w:bottom w:val="single" w:color="000000" w:sz="8" w:space="0"/>
              <w:right w:val="single" w:color="000000" w:sz="8" w:space="0"/>
            </w:tcBorders>
            <w:shd w:val="clear" w:color="auto" w:fill="FFFFFF"/>
            <w:tcMar>
              <w:left w:w="108" w:type="dxa"/>
              <w:right w:w="108" w:type="dxa"/>
            </w:tcMar>
            <w:vAlign w:val="center"/>
          </w:tcPr>
          <w:p>
            <w:pPr>
              <w:widowControl/>
              <w:textAlignment w:val="center"/>
              <w:rPr>
                <w:rFonts w:ascii="仿宋_GB2312" w:hAnsi="Times New Roman" w:eastAsia="仿宋_GB2312" w:cs="宋体"/>
                <w:color w:val="333333"/>
                <w:sz w:val="20"/>
                <w:szCs w:val="20"/>
              </w:rPr>
            </w:pPr>
            <w:r>
              <w:rPr>
                <w:rFonts w:ascii="仿宋_GB2312" w:hAnsi="Times New Roman" w:eastAsia="仿宋_GB2312" w:cs="宋体"/>
                <w:color w:val="333333"/>
                <w:sz w:val="20"/>
                <w:szCs w:val="20"/>
              </w:rPr>
              <w:t>37.</w:t>
            </w:r>
            <w:r>
              <w:rPr>
                <w:rFonts w:hint="eastAsia" w:ascii="仿宋_GB2312" w:hAnsi="Times New Roman" w:eastAsia="仿宋_GB2312" w:cs="宋体"/>
                <w:color w:val="333333"/>
                <w:sz w:val="20"/>
                <w:szCs w:val="20"/>
              </w:rPr>
              <w:t>跟踪落实公共企事业单位信息公开制度。</w:t>
            </w:r>
          </w:p>
        </w:tc>
        <w:tc>
          <w:tcPr>
            <w:tcW w:w="3956" w:type="dxa"/>
            <w:tcBorders>
              <w:top w:val="single" w:color="000000" w:sz="8" w:space="0"/>
              <w:left w:val="nil"/>
              <w:bottom w:val="single" w:color="000000" w:sz="8" w:space="0"/>
              <w:right w:val="single" w:color="000000" w:sz="8" w:space="0"/>
            </w:tcBorders>
            <w:shd w:val="clear" w:color="auto" w:fill="FFFFFF"/>
            <w:tcMar>
              <w:left w:w="108" w:type="dxa"/>
              <w:right w:w="108" w:type="dxa"/>
            </w:tcMar>
            <w:vAlign w:val="center"/>
          </w:tcPr>
          <w:p>
            <w:pPr>
              <w:widowControl/>
              <w:textAlignment w:val="center"/>
              <w:rPr>
                <w:rFonts w:ascii="仿宋_GB2312" w:hAnsi="Times New Roman" w:eastAsia="仿宋_GB2312" w:cs="宋体"/>
                <w:color w:val="333333"/>
                <w:sz w:val="20"/>
                <w:szCs w:val="20"/>
              </w:rPr>
            </w:pPr>
            <w:r>
              <w:rPr>
                <w:rFonts w:hint="eastAsia" w:ascii="仿宋_GB2312" w:hAnsi="Times New Roman" w:eastAsia="仿宋_GB2312" w:cs="宋体"/>
                <w:color w:val="333333"/>
                <w:sz w:val="20"/>
                <w:szCs w:val="20"/>
              </w:rPr>
              <w:t>严格落实公共企事业单位信息公开有关规定，建立健全工作机制，切实履行主管部门职责，指导监督教育、卫生健康、生态环境、公共交通等领域公共企事业单位加强信息公开、优化公共服务。</w:t>
            </w:r>
          </w:p>
        </w:tc>
        <w:tc>
          <w:tcPr>
            <w:tcW w:w="1656" w:type="dxa"/>
            <w:tcBorders>
              <w:top w:val="single" w:color="000000" w:sz="8" w:space="0"/>
              <w:left w:val="nil"/>
              <w:bottom w:val="single" w:color="000000" w:sz="8" w:space="0"/>
              <w:right w:val="single" w:color="000000" w:sz="8" w:space="0"/>
            </w:tcBorders>
            <w:shd w:val="clear" w:color="auto" w:fill="FFFFFF"/>
            <w:tcMar>
              <w:left w:w="108" w:type="dxa"/>
              <w:right w:w="108" w:type="dxa"/>
            </w:tcMar>
            <w:vAlign w:val="center"/>
          </w:tcPr>
          <w:p>
            <w:pPr>
              <w:widowControl/>
              <w:jc w:val="center"/>
              <w:rPr>
                <w:rFonts w:ascii="仿宋_GB2312" w:hAnsi="Times New Roman" w:eastAsia="仿宋_GB2312" w:cs="宋体"/>
                <w:color w:val="333333"/>
                <w:sz w:val="20"/>
                <w:szCs w:val="20"/>
              </w:rPr>
            </w:pPr>
          </w:p>
        </w:tc>
        <w:tc>
          <w:tcPr>
            <w:tcW w:w="2501" w:type="dxa"/>
            <w:tcBorders>
              <w:top w:val="single" w:color="000000" w:sz="8" w:space="0"/>
              <w:left w:val="nil"/>
              <w:bottom w:val="single" w:color="000000" w:sz="8" w:space="0"/>
              <w:right w:val="single" w:color="000000" w:sz="8" w:space="0"/>
            </w:tcBorders>
            <w:shd w:val="clear" w:color="auto" w:fill="FFFFFF"/>
            <w:tcMar>
              <w:left w:w="108" w:type="dxa"/>
              <w:right w:w="108" w:type="dxa"/>
            </w:tcMar>
            <w:vAlign w:val="center"/>
          </w:tcPr>
          <w:p>
            <w:pPr>
              <w:widowControl/>
              <w:textAlignment w:val="center"/>
              <w:rPr>
                <w:rFonts w:ascii="仿宋_GB2312" w:hAnsi="Times New Roman" w:eastAsia="仿宋_GB2312" w:cs="宋体"/>
                <w:color w:val="333333"/>
                <w:sz w:val="20"/>
                <w:szCs w:val="20"/>
              </w:rPr>
            </w:pPr>
            <w:r>
              <w:rPr>
                <w:rFonts w:hint="eastAsia" w:ascii="仿宋_GB2312" w:hAnsi="Times New Roman" w:eastAsia="仿宋_GB2312" w:cs="宋体"/>
                <w:color w:val="333333"/>
                <w:sz w:val="20"/>
                <w:szCs w:val="20"/>
              </w:rPr>
              <w:t>区直有关部门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cantSplit/>
          <w:trHeight w:val="1972" w:hRule="atLeast"/>
          <w:jc w:val="center"/>
        </w:trPr>
        <w:tc>
          <w:tcPr>
            <w:tcW w:w="3636" w:type="dxa"/>
            <w:tcBorders>
              <w:top w:val="nil"/>
              <w:left w:val="single" w:color="000000" w:sz="8" w:space="0"/>
              <w:bottom w:val="single" w:color="000000" w:sz="8" w:space="0"/>
              <w:right w:val="single" w:color="000000" w:sz="8" w:space="0"/>
            </w:tcBorders>
            <w:shd w:val="clear" w:color="auto" w:fill="FFFFFF"/>
            <w:tcMar>
              <w:left w:w="108" w:type="dxa"/>
              <w:right w:w="108" w:type="dxa"/>
            </w:tcMar>
            <w:vAlign w:val="center"/>
          </w:tcPr>
          <w:p>
            <w:pPr>
              <w:widowControl/>
              <w:textAlignment w:val="center"/>
              <w:rPr>
                <w:rFonts w:ascii="仿宋_GB2312" w:hAnsi="Times New Roman" w:eastAsia="仿宋_GB2312" w:cs="宋体"/>
                <w:color w:val="333333"/>
                <w:sz w:val="20"/>
                <w:szCs w:val="20"/>
              </w:rPr>
            </w:pPr>
            <w:r>
              <w:rPr>
                <w:rFonts w:ascii="仿宋_GB2312" w:hAnsi="Times New Roman" w:eastAsia="仿宋_GB2312" w:cs="宋体"/>
                <w:color w:val="333333"/>
                <w:sz w:val="20"/>
                <w:szCs w:val="20"/>
              </w:rPr>
              <w:t>38.</w:t>
            </w:r>
            <w:r>
              <w:rPr>
                <w:rFonts w:hint="eastAsia" w:ascii="仿宋_GB2312" w:hAnsi="Times New Roman" w:eastAsia="仿宋_GB2312" w:cs="宋体"/>
                <w:color w:val="333333"/>
                <w:sz w:val="20"/>
                <w:szCs w:val="20"/>
              </w:rPr>
              <w:t>规范政府信息公开工作年度报告编制发布工作。</w:t>
            </w:r>
          </w:p>
        </w:tc>
        <w:tc>
          <w:tcPr>
            <w:tcW w:w="3956" w:type="dxa"/>
            <w:tcBorders>
              <w:top w:val="single" w:color="000000" w:sz="8" w:space="0"/>
              <w:left w:val="nil"/>
              <w:bottom w:val="single" w:color="000000" w:sz="8" w:space="0"/>
              <w:right w:val="single" w:color="000000" w:sz="8" w:space="0"/>
            </w:tcBorders>
            <w:shd w:val="clear" w:color="auto" w:fill="FFFFFF"/>
            <w:tcMar>
              <w:left w:w="108" w:type="dxa"/>
              <w:right w:w="108" w:type="dxa"/>
            </w:tcMar>
            <w:vAlign w:val="center"/>
          </w:tcPr>
          <w:p>
            <w:pPr>
              <w:widowControl/>
              <w:textAlignment w:val="center"/>
              <w:rPr>
                <w:rFonts w:ascii="仿宋_GB2312" w:hAnsi="Times New Roman" w:eastAsia="仿宋_GB2312" w:cs="宋体"/>
                <w:color w:val="333333"/>
                <w:sz w:val="20"/>
                <w:szCs w:val="20"/>
              </w:rPr>
            </w:pPr>
            <w:r>
              <w:rPr>
                <w:rFonts w:hint="eastAsia" w:ascii="仿宋_GB2312" w:hAnsi="Times New Roman" w:eastAsia="仿宋_GB2312" w:cs="宋体"/>
                <w:color w:val="333333"/>
                <w:sz w:val="20"/>
                <w:szCs w:val="20"/>
              </w:rPr>
              <w:t>跟踪落实全国政府信息公开工作年度报告格式修订情况，依法依规做好年度报告编制发布工作。</w:t>
            </w:r>
          </w:p>
        </w:tc>
        <w:tc>
          <w:tcPr>
            <w:tcW w:w="1656" w:type="dxa"/>
            <w:tcBorders>
              <w:top w:val="single" w:color="000000" w:sz="8" w:space="0"/>
              <w:left w:val="nil"/>
              <w:bottom w:val="single" w:color="000000" w:sz="8" w:space="0"/>
              <w:right w:val="single" w:color="000000" w:sz="8" w:space="0"/>
            </w:tcBorders>
            <w:shd w:val="clear" w:color="auto" w:fill="FFFFFF"/>
            <w:tcMar>
              <w:left w:w="108" w:type="dxa"/>
              <w:right w:w="108" w:type="dxa"/>
            </w:tcMar>
            <w:vAlign w:val="center"/>
          </w:tcPr>
          <w:p>
            <w:pPr>
              <w:widowControl/>
              <w:jc w:val="center"/>
              <w:textAlignment w:val="center"/>
              <w:rPr>
                <w:rFonts w:ascii="仿宋_GB2312" w:hAnsi="Times New Roman" w:eastAsia="仿宋_GB2312" w:cs="宋体"/>
                <w:color w:val="333333"/>
                <w:sz w:val="20"/>
                <w:szCs w:val="20"/>
              </w:rPr>
            </w:pPr>
            <w:r>
              <w:rPr>
                <w:rFonts w:hint="eastAsia" w:ascii="仿宋_GB2312" w:hAnsi="Times New Roman" w:eastAsia="仿宋_GB2312" w:cs="宋体"/>
                <w:color w:val="333333"/>
                <w:sz w:val="20"/>
                <w:szCs w:val="20"/>
              </w:rPr>
              <w:t>区政府办</w:t>
            </w:r>
          </w:p>
        </w:tc>
        <w:tc>
          <w:tcPr>
            <w:tcW w:w="2501" w:type="dxa"/>
            <w:tcBorders>
              <w:top w:val="single" w:color="000000" w:sz="8" w:space="0"/>
              <w:left w:val="nil"/>
              <w:bottom w:val="single" w:color="000000" w:sz="8" w:space="0"/>
              <w:right w:val="single" w:color="000000" w:sz="8" w:space="0"/>
            </w:tcBorders>
            <w:shd w:val="clear" w:color="auto" w:fill="FFFFFF"/>
            <w:tcMar>
              <w:left w:w="108" w:type="dxa"/>
              <w:right w:w="108" w:type="dxa"/>
            </w:tcMar>
            <w:vAlign w:val="center"/>
          </w:tcPr>
          <w:p>
            <w:pPr>
              <w:widowControl/>
              <w:spacing w:line="320" w:lineRule="atLeast"/>
              <w:textAlignment w:val="center"/>
              <w:rPr>
                <w:rFonts w:ascii="仿宋_GB2312" w:hAnsi="Times New Roman" w:eastAsia="仿宋_GB2312" w:cs="宋体"/>
                <w:color w:val="333333"/>
                <w:sz w:val="20"/>
                <w:szCs w:val="20"/>
              </w:rPr>
            </w:pPr>
            <w:r>
              <w:rPr>
                <w:rFonts w:hint="eastAsia" w:ascii="仿宋_GB2312" w:hAnsi="Times New Roman" w:eastAsia="仿宋_GB2312" w:cs="宋体"/>
                <w:color w:val="333333"/>
                <w:sz w:val="20"/>
                <w:szCs w:val="20"/>
              </w:rPr>
              <w:t>各街道，各部门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cantSplit/>
          <w:trHeight w:val="2395" w:hRule="atLeast"/>
          <w:jc w:val="center"/>
        </w:trPr>
        <w:tc>
          <w:tcPr>
            <w:tcW w:w="3636" w:type="dxa"/>
            <w:tcBorders>
              <w:top w:val="nil"/>
              <w:left w:val="single" w:color="000000" w:sz="8" w:space="0"/>
              <w:bottom w:val="single" w:color="000000" w:sz="8" w:space="0"/>
              <w:right w:val="single" w:color="000000" w:sz="8" w:space="0"/>
            </w:tcBorders>
            <w:shd w:val="clear" w:color="auto" w:fill="FFFFFF"/>
            <w:tcMar>
              <w:left w:w="108" w:type="dxa"/>
              <w:right w:w="108" w:type="dxa"/>
            </w:tcMar>
            <w:vAlign w:val="center"/>
          </w:tcPr>
          <w:p>
            <w:pPr>
              <w:widowControl/>
              <w:textAlignment w:val="center"/>
              <w:rPr>
                <w:rFonts w:ascii="仿宋_GB2312" w:hAnsi="Times New Roman" w:eastAsia="仿宋_GB2312" w:cs="宋体"/>
                <w:color w:val="333333"/>
                <w:sz w:val="20"/>
                <w:szCs w:val="20"/>
              </w:rPr>
            </w:pPr>
            <w:r>
              <w:rPr>
                <w:rFonts w:ascii="仿宋_GB2312" w:hAnsi="Times New Roman" w:eastAsia="仿宋_GB2312" w:cs="宋体"/>
                <w:color w:val="333333"/>
                <w:sz w:val="20"/>
                <w:szCs w:val="20"/>
              </w:rPr>
              <w:t>39.</w:t>
            </w:r>
            <w:r>
              <w:rPr>
                <w:rFonts w:hint="eastAsia" w:ascii="仿宋_GB2312" w:hAnsi="Times New Roman" w:eastAsia="仿宋_GB2312" w:cs="宋体"/>
                <w:color w:val="333333"/>
                <w:sz w:val="20"/>
                <w:szCs w:val="20"/>
              </w:rPr>
              <w:t>强化政务公开体制机制保障。</w:t>
            </w:r>
          </w:p>
        </w:tc>
        <w:tc>
          <w:tcPr>
            <w:tcW w:w="3956" w:type="dxa"/>
            <w:tcBorders>
              <w:top w:val="nil"/>
              <w:left w:val="nil"/>
              <w:bottom w:val="single" w:color="000000" w:sz="8" w:space="0"/>
              <w:right w:val="single" w:color="000000" w:sz="8" w:space="0"/>
            </w:tcBorders>
            <w:shd w:val="clear" w:color="auto" w:fill="FFFFFF"/>
            <w:tcMar>
              <w:left w:w="108" w:type="dxa"/>
              <w:right w:w="108" w:type="dxa"/>
            </w:tcMar>
            <w:vAlign w:val="center"/>
          </w:tcPr>
          <w:p>
            <w:pPr>
              <w:widowControl/>
              <w:textAlignment w:val="center"/>
              <w:rPr>
                <w:rFonts w:ascii="仿宋_GB2312" w:hAnsi="Times New Roman" w:eastAsia="仿宋_GB2312" w:cs="宋体"/>
                <w:color w:val="333333"/>
                <w:sz w:val="20"/>
                <w:szCs w:val="20"/>
              </w:rPr>
            </w:pPr>
            <w:r>
              <w:rPr>
                <w:rFonts w:hint="eastAsia" w:ascii="仿宋_GB2312" w:hAnsi="Times New Roman" w:eastAsia="仿宋_GB2312" w:cs="宋体"/>
                <w:color w:val="333333"/>
                <w:sz w:val="20"/>
                <w:szCs w:val="20"/>
              </w:rPr>
              <w:t>健全政务公开工作主管部门与宣传、网信、大数据管理等部门的沟通协调机制，完善政府信息公开工作考核、社会评议和责任追究等制度，提供必要经费保障，配齐配强工作力量，确保政务公开工作各项举措落地落实。</w:t>
            </w:r>
          </w:p>
        </w:tc>
        <w:tc>
          <w:tcPr>
            <w:tcW w:w="1656" w:type="dxa"/>
            <w:tcBorders>
              <w:top w:val="nil"/>
              <w:left w:val="nil"/>
              <w:bottom w:val="single" w:color="000000" w:sz="8" w:space="0"/>
              <w:right w:val="single" w:color="000000" w:sz="8" w:space="0"/>
            </w:tcBorders>
            <w:shd w:val="clear" w:color="auto" w:fill="FFFFFF"/>
            <w:tcMar>
              <w:left w:w="108" w:type="dxa"/>
              <w:right w:w="108" w:type="dxa"/>
            </w:tcMar>
            <w:vAlign w:val="center"/>
          </w:tcPr>
          <w:p>
            <w:pPr>
              <w:widowControl/>
              <w:jc w:val="center"/>
              <w:textAlignment w:val="center"/>
              <w:rPr>
                <w:rFonts w:ascii="仿宋_GB2312" w:hAnsi="Times New Roman" w:eastAsia="仿宋_GB2312" w:cs="宋体"/>
                <w:color w:val="333333"/>
                <w:sz w:val="20"/>
                <w:szCs w:val="20"/>
              </w:rPr>
            </w:pPr>
            <w:r>
              <w:rPr>
                <w:rFonts w:hint="eastAsia" w:ascii="仿宋_GB2312" w:hAnsi="Times New Roman" w:eastAsia="仿宋_GB2312" w:cs="宋体"/>
                <w:color w:val="333333"/>
                <w:sz w:val="20"/>
                <w:szCs w:val="20"/>
              </w:rPr>
              <w:t>区政府办</w:t>
            </w:r>
          </w:p>
        </w:tc>
        <w:tc>
          <w:tcPr>
            <w:tcW w:w="2501" w:type="dxa"/>
            <w:tcBorders>
              <w:top w:val="nil"/>
              <w:left w:val="nil"/>
              <w:bottom w:val="single" w:color="000000" w:sz="8" w:space="0"/>
              <w:right w:val="single" w:color="000000" w:sz="8" w:space="0"/>
            </w:tcBorders>
            <w:shd w:val="clear" w:color="auto" w:fill="FFFFFF"/>
            <w:tcMar>
              <w:left w:w="108" w:type="dxa"/>
              <w:right w:w="108" w:type="dxa"/>
            </w:tcMar>
            <w:vAlign w:val="center"/>
          </w:tcPr>
          <w:p>
            <w:pPr>
              <w:widowControl/>
              <w:textAlignment w:val="center"/>
              <w:rPr>
                <w:rFonts w:ascii="仿宋_GB2312" w:hAnsi="Times New Roman" w:eastAsia="仿宋_GB2312" w:cs="宋体"/>
                <w:color w:val="333333"/>
                <w:sz w:val="20"/>
                <w:szCs w:val="20"/>
              </w:rPr>
            </w:pPr>
            <w:r>
              <w:rPr>
                <w:rFonts w:hint="eastAsia" w:ascii="仿宋_GB2312" w:hAnsi="Times New Roman" w:eastAsia="仿宋_GB2312" w:cs="宋体"/>
                <w:color w:val="333333"/>
                <w:sz w:val="20"/>
                <w:szCs w:val="20"/>
              </w:rPr>
              <w:t>区委宣传部，各街道，各部门，区政务信息中心</w:t>
            </w:r>
          </w:p>
        </w:tc>
      </w:tr>
    </w:tbl>
    <w:p>
      <w:pPr>
        <w:adjustRightInd w:val="0"/>
        <w:snapToGrid w:val="0"/>
        <w:spacing w:line="560" w:lineRule="exact"/>
        <w:ind w:firstLine="640" w:firstLineChars="200"/>
        <w:rPr>
          <w:rFonts w:ascii="仿宋_GB2312" w:hAnsi="仿宋_GB2312" w:eastAsia="仿宋_GB2312" w:cs="仿宋_GB2312"/>
          <w:sz w:val="32"/>
          <w:szCs w:val="32"/>
        </w:rPr>
        <w:sectPr>
          <w:headerReference r:id="rId3" w:type="default"/>
          <w:footerReference r:id="rId4" w:type="default"/>
          <w:pgSz w:w="16781" w:h="11849" w:orient="landscape"/>
          <w:pgMar w:top="1587" w:right="2098" w:bottom="1474" w:left="1984" w:header="851" w:footer="1247" w:gutter="0"/>
          <w:cols w:space="720" w:num="1"/>
          <w:docGrid w:type="lines" w:linePitch="325" w:charSpace="0"/>
        </w:sectPr>
      </w:pPr>
      <w:bookmarkStart w:id="0" w:name="_GoBack"/>
      <w:bookmarkEnd w:id="0"/>
    </w:p>
    <w:p>
      <w:pPr>
        <w:spacing w:line="540" w:lineRule="exact"/>
        <w:ind w:right="210" w:rightChars="100"/>
        <w:jc w:val="both"/>
        <w:rPr>
          <w:rFonts w:ascii="仿宋_GB2312" w:hAnsi="仿宋_GB2312" w:eastAsia="仿宋_GB2312" w:cs="仿宋_GB2312"/>
          <w:sz w:val="28"/>
          <w:szCs w:val="28"/>
        </w:rPr>
      </w:pPr>
    </w:p>
    <w:sectPr>
      <w:footerReference r:id="rId5" w:type="default"/>
      <w:pgSz w:w="11849" w:h="16781"/>
      <w:pgMar w:top="2098" w:right="1474" w:bottom="1984" w:left="1587" w:header="851" w:footer="1928" w:gutter="0"/>
      <w:cols w:space="720" w:num="1"/>
      <w:docGrid w:type="lines" w:linePitch="32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rFonts w:ascii="Calibri" w:hAnsi="Calibri" w:eastAsia="宋体" w:cs="Times New Roman"/>
        <w:kern w:val="2"/>
        <w:sz w:val="18"/>
        <w:szCs w:val="24"/>
        <w:lang w:val="en-US" w:eastAsia="zh-CN" w:bidi="ar-SA"/>
      </w:rPr>
      <w:pict>
        <v:shape id="Quad Arrow 1" o:spid="_x0000_s2049" o:spt="202" type="#_x0000_t202" style="position:absolute;left:0pt;margin-top:0pt;height:22.65pt;width:73.7pt;mso-position-horizontal:outside;mso-position-horizontal-relative:margin;z-index:251658240;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w:txbxContent>
              <w:p>
                <w:pPr>
                  <w:snapToGrid w:val="0"/>
                  <w:jc w:val="center"/>
                  <w:rPr>
                    <w:rFonts w:ascii="宋体" w:cs="宋体"/>
                    <w:sz w:val="28"/>
                    <w:szCs w:val="28"/>
                  </w:rPr>
                </w:pPr>
                <w:r>
                  <w:rPr>
                    <w:rFonts w:hint="eastAsia" w:ascii="宋体" w:hAnsi="宋体" w:cs="宋体"/>
                    <w:sz w:val="28"/>
                    <w:szCs w:val="28"/>
                  </w:rPr>
                  <w:t>－</w:t>
                </w: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rPr>
                    <w:rFonts w:ascii="宋体" w:hAnsi="宋体" w:cs="宋体"/>
                    <w:sz w:val="28"/>
                    <w:szCs w:val="28"/>
                  </w:rPr>
                  <w:t>20</w:t>
                </w:r>
                <w:r>
                  <w:rPr>
                    <w:rFonts w:ascii="宋体" w:hAnsi="宋体" w:cs="宋体"/>
                    <w:sz w:val="28"/>
                    <w:szCs w:val="28"/>
                  </w:rPr>
                  <w:fldChar w:fldCharType="end"/>
                </w:r>
                <w:r>
                  <w:rPr>
                    <w:rFonts w:hint="eastAsia" w:ascii="宋体" w:hAnsi="宋体" w:cs="宋体"/>
                    <w:sz w:val="28"/>
                    <w:szCs w:val="28"/>
                  </w:rPr>
                  <w:t>－</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top w:val="none" w:color="auto" w:sz="0" w:space="0"/>
        <w:left w:val="none" w:color="auto" w:sz="0" w:space="0"/>
        <w:bottom w:val="none" w:color="auto" w:sz="0" w:space="0"/>
        <w:right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1552B14"/>
    <w:multiLevelType w:val="singleLevel"/>
    <w:tmpl w:val="61552B14"/>
    <w:lvl w:ilvl="0" w:tentative="0">
      <w:start w:val="1"/>
      <w:numFmt w:val="decimal"/>
      <w:suff w:val="nothing"/>
      <w:lvlText w:val="%1."/>
      <w:lvlJc w:val="left"/>
      <w:rPr>
        <w:rFonts w:cs="Times New Roman"/>
      </w:rPr>
    </w:lvl>
  </w:abstractNum>
  <w:abstractNum w:abstractNumId="1">
    <w:nsid w:val="61552C7F"/>
    <w:multiLevelType w:val="singleLevel"/>
    <w:tmpl w:val="61552C7F"/>
    <w:lvl w:ilvl="0" w:tentative="0">
      <w:start w:val="1"/>
      <w:numFmt w:val="decimal"/>
      <w:suff w:val="nothing"/>
      <w:lvlText w:val="%1."/>
      <w:lvlJc w:val="left"/>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63"/>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247F6A08"/>
    <w:rsid w:val="0003722D"/>
    <w:rsid w:val="000615BD"/>
    <w:rsid w:val="00213005"/>
    <w:rsid w:val="00223683"/>
    <w:rsid w:val="002A1CBD"/>
    <w:rsid w:val="006C72B2"/>
    <w:rsid w:val="00DC4F8A"/>
    <w:rsid w:val="00DC78D7"/>
    <w:rsid w:val="00F44795"/>
    <w:rsid w:val="00F660D3"/>
    <w:rsid w:val="02BD16A0"/>
    <w:rsid w:val="02EE5863"/>
    <w:rsid w:val="16552EDE"/>
    <w:rsid w:val="18AD452D"/>
    <w:rsid w:val="240E1241"/>
    <w:rsid w:val="24646251"/>
    <w:rsid w:val="247F6A08"/>
    <w:rsid w:val="25E705D4"/>
    <w:rsid w:val="2ED5219C"/>
    <w:rsid w:val="355C61EC"/>
    <w:rsid w:val="41E207DB"/>
    <w:rsid w:val="435703A4"/>
    <w:rsid w:val="45F46282"/>
    <w:rsid w:val="4BBD308D"/>
    <w:rsid w:val="561C4EA5"/>
    <w:rsid w:val="61C15F36"/>
    <w:rsid w:val="65A62EAA"/>
    <w:rsid w:val="6BA7422C"/>
  </w:rsids>
  <m:mathPr>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99"/>
  </w:style>
  <w:style w:type="table" w:default="1" w:styleId="4">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8"/>
    <w:qFormat/>
    <w:uiPriority w:val="99"/>
    <w:pPr>
      <w:tabs>
        <w:tab w:val="center" w:pos="4153"/>
        <w:tab w:val="right" w:pos="8306"/>
      </w:tabs>
      <w:snapToGrid w:val="0"/>
      <w:jc w:val="left"/>
    </w:pPr>
    <w:rPr>
      <w:sz w:val="18"/>
    </w:rPr>
  </w:style>
  <w:style w:type="paragraph" w:styleId="3">
    <w:name w:val="header"/>
    <w:basedOn w:val="1"/>
    <w:link w:val="9"/>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customStyle="1" w:styleId="6">
    <w:name w:val="p18"/>
    <w:basedOn w:val="1"/>
    <w:qFormat/>
    <w:uiPriority w:val="99"/>
    <w:pPr>
      <w:widowControl/>
    </w:pPr>
    <w:rPr>
      <w:rFonts w:ascii="宋体" w:hAnsi="宋体"/>
      <w:kern w:val="0"/>
      <w:szCs w:val="22"/>
    </w:rPr>
  </w:style>
  <w:style w:type="paragraph" w:customStyle="1" w:styleId="7">
    <w:name w:val="List Paragraph1"/>
    <w:basedOn w:val="1"/>
    <w:qFormat/>
    <w:uiPriority w:val="99"/>
    <w:pPr>
      <w:ind w:firstLine="420" w:firstLineChars="200"/>
    </w:pPr>
  </w:style>
  <w:style w:type="character" w:customStyle="1" w:styleId="8">
    <w:name w:val="Footer Char"/>
    <w:basedOn w:val="5"/>
    <w:link w:val="2"/>
    <w:semiHidden/>
    <w:qFormat/>
    <w:locked/>
    <w:uiPriority w:val="99"/>
    <w:rPr>
      <w:rFonts w:ascii="Calibri" w:hAnsi="Calibri" w:cs="Times New Roman"/>
      <w:sz w:val="18"/>
      <w:szCs w:val="18"/>
    </w:rPr>
  </w:style>
  <w:style w:type="character" w:customStyle="1" w:styleId="9">
    <w:name w:val="Header Char"/>
    <w:basedOn w:val="5"/>
    <w:link w:val="3"/>
    <w:semiHidden/>
    <w:qFormat/>
    <w:locked/>
    <w:uiPriority w:val="99"/>
    <w:rPr>
      <w:rFonts w:ascii="Calibri" w:hAnsi="Calibri"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20</Pages>
  <Words>6504</Words>
  <Characters>6651</Characters>
  <Lines>0</Lines>
  <Paragraphs>0</Paragraphs>
  <TotalTime>2</TotalTime>
  <ScaleCrop>false</ScaleCrop>
  <LinksUpToDate>false</LinksUpToDate>
  <CharactersWithSpaces>6734</CharactersWithSpaces>
  <Application>WPS Office_11.8.2.8276_F1E327BC-269C-435d-A152-05C5408002CA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2021-10-25T09:10:00Z</dcterms:created>
  <dc:creator>傅雅琪</dc:creator>
  <cp:lastModifiedBy>ptr</cp:lastModifiedBy>
  <cp:lastPrinted>2021-10-29T03:05:00Z</cp:lastPrinted>
  <dcterms:modified xsi:type="dcterms:W3CDTF">2021-10-29T09:12:59Z</dcterms:modified>
  <dc:title>厦思政办〔2021〕41号</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2052-11.8.2.8276</vt:lpwstr>
  </property>
</Properties>
</file>